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AE5C" w14:textId="72CD89A6" w:rsidR="00012362" w:rsidRDefault="006A23CE" w:rsidP="00012362">
      <w:pPr>
        <w:pStyle w:val="NoSpacing"/>
        <w:jc w:val="center"/>
        <w:rPr>
          <w:b/>
          <w:color w:val="2F5496" w:themeColor="accent1" w:themeShade="BF"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CD510E" wp14:editId="0B22AE68">
            <wp:simplePos x="0" y="0"/>
            <wp:positionH relativeFrom="column">
              <wp:posOffset>-1066800</wp:posOffset>
            </wp:positionH>
            <wp:positionV relativeFrom="paragraph">
              <wp:posOffset>-1123950</wp:posOffset>
            </wp:positionV>
            <wp:extent cx="8096250" cy="101917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BC80" wp14:editId="56667146">
                <wp:simplePos x="0" y="0"/>
                <wp:positionH relativeFrom="column">
                  <wp:posOffset>4800600</wp:posOffset>
                </wp:positionH>
                <wp:positionV relativeFrom="paragraph">
                  <wp:posOffset>304800</wp:posOffset>
                </wp:positionV>
                <wp:extent cx="135255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88AAC" w14:textId="21B285CE" w:rsidR="00724464" w:rsidRPr="00724464" w:rsidRDefault="00262EA0" w:rsidP="0072446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 2020</w:t>
                            </w:r>
                          </w:p>
                          <w:p w14:paraId="0918FCD7" w14:textId="37F044B1" w:rsidR="00724464" w:rsidRDefault="00262EA0" w:rsidP="00724464">
                            <w:pPr>
                              <w:spacing w:after="0"/>
                              <w:jc w:val="right"/>
                            </w:pPr>
                            <w:r>
                              <w:t xml:space="preserve">2021 </w:t>
                            </w:r>
                            <w:r w:rsidR="00724464">
                              <w:t>UM 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B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24pt;width:106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" fillcolor="white [3201]" stroked="f" strokeweight=".5pt">
                <v:textbox>
                  <w:txbxContent>
                    <w:p w14:paraId="52188AAC" w14:textId="21B285CE" w:rsidR="00724464" w:rsidRPr="00724464" w:rsidRDefault="00262EA0" w:rsidP="00724464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December 2020</w:t>
                      </w:r>
                    </w:p>
                    <w:p w14:paraId="0918FCD7" w14:textId="37F044B1" w:rsidR="00724464" w:rsidRDefault="00262EA0" w:rsidP="00724464">
                      <w:pPr>
                        <w:spacing w:after="0"/>
                        <w:jc w:val="right"/>
                      </w:pPr>
                      <w:r>
                        <w:t xml:space="preserve">2021 </w:t>
                      </w:r>
                      <w:r w:rsidR="00724464">
                        <w:t>UM Updates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6392AB54" w14:textId="0CC3A995" w:rsidR="00446E7F" w:rsidRDefault="00446E7F" w:rsidP="00012362">
      <w:pPr>
        <w:pStyle w:val="NoSpacing"/>
        <w:jc w:val="center"/>
        <w:rPr>
          <w:b/>
          <w:color w:val="2F5496" w:themeColor="accent1" w:themeShade="BF"/>
          <w:sz w:val="48"/>
        </w:rPr>
      </w:pPr>
    </w:p>
    <w:p w14:paraId="494D7A77" w14:textId="3EA2A908" w:rsidR="00446E7F" w:rsidRPr="00012362" w:rsidRDefault="00446E7F" w:rsidP="00012362">
      <w:pPr>
        <w:pStyle w:val="NoSpacing"/>
        <w:jc w:val="center"/>
        <w:rPr>
          <w:b/>
        </w:rPr>
      </w:pPr>
    </w:p>
    <w:p w14:paraId="71E2504C" w14:textId="14EEE0B6" w:rsidR="00446E7F" w:rsidRDefault="00446E7F" w:rsidP="00012362">
      <w:pPr>
        <w:pStyle w:val="NoSpacing"/>
        <w:rPr>
          <w:sz w:val="24"/>
        </w:rPr>
      </w:pPr>
    </w:p>
    <w:p w14:paraId="537041F1" w14:textId="178817BD" w:rsidR="00446E7F" w:rsidRDefault="00724464" w:rsidP="00446E7F">
      <w:pPr>
        <w:pStyle w:val="NoSpacing"/>
        <w:jc w:val="center"/>
        <w:rPr>
          <w:b/>
          <w:color w:val="2F5496" w:themeColor="accent1" w:themeShade="BF"/>
          <w:sz w:val="40"/>
        </w:rPr>
      </w:pPr>
      <w:r w:rsidRPr="00724464">
        <w:rPr>
          <w:b/>
          <w:color w:val="2F5496" w:themeColor="accent1" w:themeShade="BF"/>
          <w:sz w:val="40"/>
        </w:rPr>
        <w:t>IMPORTANT UTILIZATION MANAGEMENT UPDATES</w:t>
      </w:r>
    </w:p>
    <w:p w14:paraId="5B03748A" w14:textId="77C19C89" w:rsidR="00262EA0" w:rsidRPr="00724464" w:rsidRDefault="00262EA0" w:rsidP="00446E7F">
      <w:pPr>
        <w:pStyle w:val="NoSpacing"/>
        <w:jc w:val="center"/>
        <w:rPr>
          <w:b/>
          <w:sz w:val="18"/>
        </w:rPr>
      </w:pPr>
      <w:r>
        <w:rPr>
          <w:b/>
          <w:color w:val="2F5496" w:themeColor="accent1" w:themeShade="BF"/>
          <w:sz w:val="40"/>
        </w:rPr>
        <w:t>Effective January 1</w:t>
      </w:r>
      <w:r w:rsidRPr="00262EA0">
        <w:rPr>
          <w:b/>
          <w:color w:val="2F5496" w:themeColor="accent1" w:themeShade="BF"/>
          <w:sz w:val="40"/>
          <w:vertAlign w:val="superscript"/>
        </w:rPr>
        <w:t>st</w:t>
      </w:r>
      <w:r>
        <w:rPr>
          <w:b/>
          <w:color w:val="2F5496" w:themeColor="accent1" w:themeShade="BF"/>
          <w:sz w:val="40"/>
        </w:rPr>
        <w:t>, 2021</w:t>
      </w:r>
    </w:p>
    <w:p w14:paraId="3E86C63F" w14:textId="067CD81C" w:rsidR="00446E7F" w:rsidRPr="004054DB" w:rsidRDefault="00446E7F" w:rsidP="00012362">
      <w:pPr>
        <w:pStyle w:val="NoSpacing"/>
        <w:rPr>
          <w:sz w:val="10"/>
          <w:szCs w:val="8"/>
        </w:rPr>
      </w:pPr>
    </w:p>
    <w:p w14:paraId="7B9B3E83" w14:textId="77777777" w:rsidR="004054DB" w:rsidRDefault="004054DB" w:rsidP="004054DB">
      <w:pPr>
        <w:pStyle w:val="NoSpacing"/>
        <w:spacing w:line="276" w:lineRule="auto"/>
        <w:ind w:left="-540" w:right="-540"/>
        <w:jc w:val="both"/>
        <w:rPr>
          <w:b/>
          <w:color w:val="2F5496" w:themeColor="accent1" w:themeShade="BF"/>
          <w:sz w:val="28"/>
        </w:rPr>
      </w:pPr>
      <w:r w:rsidRPr="00724464">
        <w:rPr>
          <w:b/>
          <w:color w:val="2F5496" w:themeColor="accent1" w:themeShade="BF"/>
          <w:sz w:val="28"/>
        </w:rPr>
        <w:t>Prior Authorization Changes</w:t>
      </w:r>
    </w:p>
    <w:p w14:paraId="45C62F15" w14:textId="15E930F7" w:rsidR="004054DB" w:rsidRDefault="00724464" w:rsidP="00262EA0">
      <w:pPr>
        <w:pStyle w:val="NoSpacing"/>
        <w:spacing w:line="276" w:lineRule="auto"/>
        <w:ind w:left="-540" w:right="-720"/>
        <w:jc w:val="both"/>
      </w:pPr>
      <w:r>
        <w:t>CountyCare Health Plan is committed to providing an efficient and consistent Utilization Management (UM) experience for our</w:t>
      </w:r>
      <w:r w:rsidR="000E0701">
        <w:t xml:space="preserve"> members and</w:t>
      </w:r>
      <w:r>
        <w:t xml:space="preserve"> providers. </w:t>
      </w:r>
      <w:r w:rsidR="000E0701">
        <w:t xml:space="preserve">Based on provider feedback, market analysis, and utilizations trends the following prior authorization (PA) revisions will be effective for all dates of service beginning on </w:t>
      </w:r>
      <w:r w:rsidR="00262EA0">
        <w:t>01/01/2021</w:t>
      </w:r>
      <w:r w:rsidR="000E0701">
        <w:t>.</w:t>
      </w:r>
      <w:r w:rsidR="00BA2B80">
        <w:tab/>
      </w:r>
    </w:p>
    <w:p w14:paraId="2E08360B" w14:textId="77777777" w:rsidR="00BF76CA" w:rsidRPr="004054DB" w:rsidRDefault="00BF76CA" w:rsidP="00262EA0">
      <w:pPr>
        <w:pStyle w:val="NoSpacing"/>
        <w:spacing w:line="276" w:lineRule="auto"/>
        <w:ind w:left="-540" w:right="-720"/>
        <w:jc w:val="both"/>
        <w:rPr>
          <w:b/>
          <w:sz w:val="10"/>
          <w:szCs w:val="10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495"/>
        <w:gridCol w:w="1170"/>
        <w:gridCol w:w="3251"/>
      </w:tblGrid>
      <w:tr w:rsidR="00262EA0" w:rsidRPr="002D0185" w14:paraId="1E93A2E9" w14:textId="77777777" w:rsidTr="008E3D7E">
        <w:trPr>
          <w:trHeight w:val="300"/>
          <w:jc w:val="center"/>
        </w:trPr>
        <w:tc>
          <w:tcPr>
            <w:tcW w:w="715" w:type="dxa"/>
            <w:shd w:val="clear" w:color="000000" w:fill="D9E1F2"/>
            <w:noWrap/>
            <w:vAlign w:val="center"/>
            <w:hideMark/>
          </w:tcPr>
          <w:p w14:paraId="274E8B73" w14:textId="77777777" w:rsidR="00262EA0" w:rsidRPr="002D0185" w:rsidRDefault="00262EA0" w:rsidP="002D0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01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495" w:type="dxa"/>
            <w:shd w:val="clear" w:color="000000" w:fill="D9E1F2"/>
            <w:noWrap/>
            <w:vAlign w:val="center"/>
            <w:hideMark/>
          </w:tcPr>
          <w:p w14:paraId="0B4882F0" w14:textId="77777777" w:rsidR="00262EA0" w:rsidRPr="002D0185" w:rsidRDefault="00262EA0" w:rsidP="002D0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01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shd w:val="clear" w:color="000000" w:fill="D9E1F2"/>
            <w:noWrap/>
            <w:vAlign w:val="center"/>
            <w:hideMark/>
          </w:tcPr>
          <w:p w14:paraId="77D3E197" w14:textId="77777777" w:rsidR="00262EA0" w:rsidRPr="002D0185" w:rsidRDefault="00262EA0" w:rsidP="002D0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D01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3251" w:type="dxa"/>
            <w:shd w:val="clear" w:color="000000" w:fill="D9E1F2"/>
            <w:noWrap/>
            <w:vAlign w:val="center"/>
            <w:hideMark/>
          </w:tcPr>
          <w:p w14:paraId="168244BC" w14:textId="7E861E4D" w:rsidR="00262EA0" w:rsidRPr="002D0185" w:rsidRDefault="00262EA0" w:rsidP="002D0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Effective as of 1/1/21 DOS:</w:t>
            </w:r>
          </w:p>
        </w:tc>
      </w:tr>
      <w:tr w:rsidR="00BF76CA" w:rsidRPr="002D0185" w14:paraId="1917C991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E164F3F" w14:textId="4BF39865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color w:val="DE350B"/>
                <w:sz w:val="20"/>
                <w:szCs w:val="20"/>
              </w:rPr>
              <w:t>B4160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68EB176D" w14:textId="7F365FAB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color w:val="DE350B"/>
                <w:sz w:val="20"/>
                <w:szCs w:val="20"/>
              </w:rPr>
              <w:t>ENTERAL FORMULA, FOR PEDIATRICS, NUTRITIONALLY COM</w:t>
            </w:r>
          </w:p>
        </w:tc>
        <w:tc>
          <w:tcPr>
            <w:tcW w:w="1170" w:type="dxa"/>
            <w:shd w:val="clear" w:color="auto" w:fill="auto"/>
            <w:noWrap/>
          </w:tcPr>
          <w:p w14:paraId="1DEE8E09" w14:textId="16274002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vision</w:t>
            </w:r>
          </w:p>
        </w:tc>
        <w:tc>
          <w:tcPr>
            <w:tcW w:w="3251" w:type="dxa"/>
            <w:shd w:val="clear" w:color="auto" w:fill="auto"/>
          </w:tcPr>
          <w:p w14:paraId="63CBB626" w14:textId="3BC3C14A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73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only required for oral delivery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no PA requirements if via tube feeding</w:t>
            </w:r>
          </w:p>
        </w:tc>
      </w:tr>
      <w:tr w:rsidR="00BF76CA" w:rsidRPr="002D0185" w14:paraId="48396B28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DEEC5D9" w14:textId="1817371C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color w:val="DE350B"/>
                <w:sz w:val="20"/>
                <w:szCs w:val="20"/>
              </w:rPr>
              <w:t>B4161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5C28EA33" w14:textId="0B4C98C3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color w:val="DE350B"/>
                <w:sz w:val="20"/>
                <w:szCs w:val="20"/>
              </w:rPr>
              <w:t>ENTERAL FORMULA, FOR PEDIATRICS, HYDROLYZED/AMINO</w:t>
            </w:r>
          </w:p>
        </w:tc>
        <w:tc>
          <w:tcPr>
            <w:tcW w:w="1170" w:type="dxa"/>
            <w:shd w:val="clear" w:color="auto" w:fill="auto"/>
            <w:noWrap/>
          </w:tcPr>
          <w:p w14:paraId="28AD9499" w14:textId="235421C1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F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251" w:type="dxa"/>
            <w:shd w:val="clear" w:color="auto" w:fill="auto"/>
          </w:tcPr>
          <w:p w14:paraId="262A84E7" w14:textId="2873C87F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9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only required for oral delivery, no PA requirements if via tube feeding</w:t>
            </w:r>
          </w:p>
        </w:tc>
      </w:tr>
      <w:tr w:rsidR="00BF76CA" w:rsidRPr="002D0185" w14:paraId="1C202CF5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D031312" w14:textId="05F36663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color w:val="DE350B"/>
                <w:sz w:val="20"/>
                <w:szCs w:val="20"/>
              </w:rPr>
              <w:t>B9998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69FF64C4" w14:textId="0153CD72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color w:val="DE350B"/>
                <w:sz w:val="20"/>
                <w:szCs w:val="20"/>
              </w:rPr>
              <w:t>NOC FOR ENTERAL SUPPLIES</w:t>
            </w:r>
          </w:p>
        </w:tc>
        <w:tc>
          <w:tcPr>
            <w:tcW w:w="1170" w:type="dxa"/>
            <w:shd w:val="clear" w:color="auto" w:fill="auto"/>
            <w:noWrap/>
          </w:tcPr>
          <w:p w14:paraId="05C99B22" w14:textId="23A82C18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4F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251" w:type="dxa"/>
            <w:shd w:val="clear" w:color="auto" w:fill="auto"/>
          </w:tcPr>
          <w:p w14:paraId="2251185B" w14:textId="22592010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9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only required for oral delivery, no PA requirements if via tube feeding</w:t>
            </w:r>
          </w:p>
        </w:tc>
      </w:tr>
      <w:tr w:rsidR="00BF76CA" w:rsidRPr="002D0185" w14:paraId="3F665644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E9E0B0C" w14:textId="3B238D08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G0283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101ABE9A" w14:textId="633B928B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ELECTRICAL STIMULATION (UNATTENDED), TO ONE OR MOR</w:t>
            </w:r>
          </w:p>
        </w:tc>
        <w:tc>
          <w:tcPr>
            <w:tcW w:w="1170" w:type="dxa"/>
            <w:shd w:val="clear" w:color="auto" w:fill="auto"/>
            <w:noWrap/>
          </w:tcPr>
          <w:p w14:paraId="6D0EDB81" w14:textId="186E193D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</w:tcPr>
          <w:p w14:paraId="6E07E197" w14:textId="03CD9B4A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23019A8E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C3E54E4" w14:textId="4DFAD064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92587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5E4B9EB2" w14:textId="29D363EB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DISTORT PRODUCT EVOKED OTOACOUSTIC EMISNS LIMITD</w:t>
            </w:r>
          </w:p>
        </w:tc>
        <w:tc>
          <w:tcPr>
            <w:tcW w:w="1170" w:type="dxa"/>
            <w:shd w:val="clear" w:color="auto" w:fill="auto"/>
            <w:noWrap/>
          </w:tcPr>
          <w:p w14:paraId="1613F3C6" w14:textId="52CAFFBE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</w:tcPr>
          <w:p w14:paraId="167BB5FE" w14:textId="01CB16BD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332B6BF2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651E5CF" w14:textId="5F01B53D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11042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5EE9FE5B" w14:textId="209B7C4A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DEBRIDEMENT SUBCUTANEOUS TISSUE 20 SQ CM/&lt;</w:t>
            </w:r>
          </w:p>
        </w:tc>
        <w:tc>
          <w:tcPr>
            <w:tcW w:w="1170" w:type="dxa"/>
            <w:shd w:val="clear" w:color="auto" w:fill="auto"/>
            <w:noWrap/>
          </w:tcPr>
          <w:p w14:paraId="51CFBFD3" w14:textId="50C1F9E8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</w:tcPr>
          <w:p w14:paraId="29FEE888" w14:textId="6734149E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633B995C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25A7857" w14:textId="643B8F01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11043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73C794C4" w14:textId="3CA4BB37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DEBRIDEMENT MUSCLE &amp; FASCIA 20 SQ CM/&lt;</w:t>
            </w:r>
          </w:p>
        </w:tc>
        <w:tc>
          <w:tcPr>
            <w:tcW w:w="1170" w:type="dxa"/>
            <w:shd w:val="clear" w:color="auto" w:fill="auto"/>
            <w:noWrap/>
          </w:tcPr>
          <w:p w14:paraId="4AA32A60" w14:textId="3C9D29F9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</w:tcPr>
          <w:p w14:paraId="709D726C" w14:textId="5407E7F0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1AD9E6E6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C370BA9" w14:textId="509D5AE1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11044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66C73E5E" w14:textId="0185D6F5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DBRDMT BONE M&amp;/F 20 SQ CM/&lt;</w:t>
            </w:r>
          </w:p>
        </w:tc>
        <w:tc>
          <w:tcPr>
            <w:tcW w:w="1170" w:type="dxa"/>
            <w:shd w:val="clear" w:color="auto" w:fill="auto"/>
            <w:noWrap/>
          </w:tcPr>
          <w:p w14:paraId="04B077CA" w14:textId="7460167C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</w:tcPr>
          <w:p w14:paraId="00F0397B" w14:textId="4E59BA4D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2EAE1ED4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11A99C" w14:textId="7F48ECAD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11045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05A47E22" w14:textId="1B9737A7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DBRDMT SUBCUTANEOUS TISSUE EA ADDL 20 SQ CM</w:t>
            </w:r>
          </w:p>
        </w:tc>
        <w:tc>
          <w:tcPr>
            <w:tcW w:w="1170" w:type="dxa"/>
            <w:shd w:val="clear" w:color="auto" w:fill="auto"/>
            <w:noWrap/>
          </w:tcPr>
          <w:p w14:paraId="12879FE1" w14:textId="254B9BDE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</w:tcPr>
          <w:p w14:paraId="780D3B70" w14:textId="634D0D30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1BB00E35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C00B645" w14:textId="691F6DF2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11046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325D4611" w14:textId="59ADD6AB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DBRDMT M&amp;/F EA ADDL 20 SQ CM</w:t>
            </w:r>
          </w:p>
        </w:tc>
        <w:tc>
          <w:tcPr>
            <w:tcW w:w="1170" w:type="dxa"/>
            <w:shd w:val="clear" w:color="auto" w:fill="auto"/>
            <w:noWrap/>
          </w:tcPr>
          <w:p w14:paraId="3F55BB37" w14:textId="60A76133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</w:tcPr>
          <w:p w14:paraId="56FBF9EE" w14:textId="1DFFD5E3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5F2F5BDB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E3D8AD4" w14:textId="19885F70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11047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0A03AAAE" w14:textId="716F3407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DEBRIDEMENT BONE EA ADDL 20 SQ CM/&lt;</w:t>
            </w:r>
          </w:p>
        </w:tc>
        <w:tc>
          <w:tcPr>
            <w:tcW w:w="1170" w:type="dxa"/>
            <w:shd w:val="clear" w:color="auto" w:fill="auto"/>
            <w:noWrap/>
          </w:tcPr>
          <w:p w14:paraId="49B78983" w14:textId="1048BB4B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</w:tcPr>
          <w:p w14:paraId="21233830" w14:textId="7ABD2B12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06FA1AE4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E12F771" w14:textId="7B5ADA26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11720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18AB9FEA" w14:textId="46EA7C2C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DEBRIDEMENT, NAIL(S), ANY METHOD(S); 1-5</w:t>
            </w:r>
          </w:p>
        </w:tc>
        <w:tc>
          <w:tcPr>
            <w:tcW w:w="1170" w:type="dxa"/>
            <w:shd w:val="clear" w:color="auto" w:fill="auto"/>
            <w:noWrap/>
          </w:tcPr>
          <w:p w14:paraId="0B22A323" w14:textId="5145F6F3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  <w:noWrap/>
          </w:tcPr>
          <w:p w14:paraId="4AD921FF" w14:textId="462A47ED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3B5F1EA5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75E3E17" w14:textId="21DB0E26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Hlk30578024"/>
            <w:r w:rsidRPr="00BF76CA">
              <w:rPr>
                <w:sz w:val="20"/>
                <w:szCs w:val="20"/>
              </w:rPr>
              <w:t>11721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7580E346" w14:textId="6DB91813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DEBRIDEMENT, NAIL(S), ANY METHOD(S); OVER 6</w:t>
            </w:r>
          </w:p>
        </w:tc>
        <w:tc>
          <w:tcPr>
            <w:tcW w:w="1170" w:type="dxa"/>
            <w:shd w:val="clear" w:color="auto" w:fill="auto"/>
            <w:noWrap/>
          </w:tcPr>
          <w:p w14:paraId="6C9BFC6C" w14:textId="041FA5CB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  <w:noWrap/>
          </w:tcPr>
          <w:p w14:paraId="372FAF26" w14:textId="5F1628A3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bookmarkEnd w:id="0"/>
      <w:tr w:rsidR="00BF76CA" w:rsidRPr="002D0185" w14:paraId="28BC1683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33E6D6D" w14:textId="7BB6315A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97597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4CF8BCD3" w14:textId="11FA7623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DEBRIDEMENT OPEN WOUND 20 SQ CM&lt;</w:t>
            </w:r>
          </w:p>
        </w:tc>
        <w:tc>
          <w:tcPr>
            <w:tcW w:w="1170" w:type="dxa"/>
            <w:shd w:val="clear" w:color="auto" w:fill="auto"/>
            <w:noWrap/>
          </w:tcPr>
          <w:p w14:paraId="7D70B667" w14:textId="4D28043C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7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  <w:noWrap/>
          </w:tcPr>
          <w:p w14:paraId="68127FC2" w14:textId="7021D160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E8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 no longer required</w:t>
            </w:r>
          </w:p>
        </w:tc>
      </w:tr>
      <w:tr w:rsidR="00BF76CA" w:rsidRPr="002D0185" w14:paraId="1B7F65FC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5A215FB" w14:textId="2CC24888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97598</w:t>
            </w:r>
          </w:p>
        </w:tc>
        <w:tc>
          <w:tcPr>
            <w:tcW w:w="5495" w:type="dxa"/>
            <w:shd w:val="clear" w:color="auto" w:fill="auto"/>
            <w:noWrap/>
            <w:vAlign w:val="center"/>
            <w:hideMark/>
          </w:tcPr>
          <w:p w14:paraId="3631E3A6" w14:textId="30219F1F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DEBRIDEMENT OPEN WOUND ADDL 20 SQ CM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F72A40" w14:textId="77777777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4F1CB603" w14:textId="084205CC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longer 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BF76CA" w:rsidRPr="002D0185" w14:paraId="5A3C8606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6EE2471" w14:textId="44CCEB1D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K0108</w:t>
            </w:r>
          </w:p>
        </w:tc>
        <w:tc>
          <w:tcPr>
            <w:tcW w:w="5495" w:type="dxa"/>
            <w:shd w:val="clear" w:color="auto" w:fill="auto"/>
            <w:noWrap/>
            <w:vAlign w:val="center"/>
          </w:tcPr>
          <w:p w14:paraId="08F8EC67" w14:textId="04648145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WHEELCHAIR COMPONENT OR ACCESSORY, NOT OTHERWISE 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091EDBB" w14:textId="5952FB07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  <w:noWrap/>
            <w:vAlign w:val="center"/>
          </w:tcPr>
          <w:p w14:paraId="0959EF43" w14:textId="5F752989" w:rsidR="00BF76CA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longer 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BF76CA" w:rsidRPr="002D0185" w14:paraId="66C51E44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74FDFF8" w14:textId="419BA2C2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K0739</w:t>
            </w:r>
          </w:p>
        </w:tc>
        <w:tc>
          <w:tcPr>
            <w:tcW w:w="5495" w:type="dxa"/>
            <w:shd w:val="clear" w:color="auto" w:fill="auto"/>
            <w:noWrap/>
            <w:vAlign w:val="center"/>
          </w:tcPr>
          <w:p w14:paraId="3E4FE66A" w14:textId="0ABFB6E2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REPAIR OR NONROUTINE SERVICE FOR DURABLE MEDICAL 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A4748A0" w14:textId="2CC75F7C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  <w:noWrap/>
            <w:vAlign w:val="center"/>
          </w:tcPr>
          <w:p w14:paraId="3BB9ECFB" w14:textId="77A6F568" w:rsidR="00BF76CA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longer 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BF76CA" w:rsidRPr="002D0185" w14:paraId="3A07D1D3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0D51459" w14:textId="2A96D9FF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E2617</w:t>
            </w:r>
          </w:p>
        </w:tc>
        <w:tc>
          <w:tcPr>
            <w:tcW w:w="5495" w:type="dxa"/>
            <w:shd w:val="clear" w:color="auto" w:fill="auto"/>
            <w:noWrap/>
            <w:vAlign w:val="center"/>
          </w:tcPr>
          <w:p w14:paraId="797A62EF" w14:textId="7835D97C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CUSTOM FABRICATED WHEELCHAIR BACK CUSHION, ANY SIZ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7326B66" w14:textId="5B217D0F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  <w:noWrap/>
            <w:vAlign w:val="center"/>
          </w:tcPr>
          <w:p w14:paraId="144F1C92" w14:textId="2EC7800B" w:rsidR="00BF76CA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longer 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BF76CA" w:rsidRPr="002D0185" w14:paraId="063736F4" w14:textId="77777777" w:rsidTr="008E3D7E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9E87E98" w14:textId="2E949D4F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E2311</w:t>
            </w:r>
          </w:p>
        </w:tc>
        <w:tc>
          <w:tcPr>
            <w:tcW w:w="5495" w:type="dxa"/>
            <w:shd w:val="clear" w:color="auto" w:fill="auto"/>
            <w:noWrap/>
            <w:vAlign w:val="center"/>
          </w:tcPr>
          <w:p w14:paraId="674D78D0" w14:textId="1663A649" w:rsidR="00BF76CA" w:rsidRPr="002D0185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76CA">
              <w:rPr>
                <w:sz w:val="20"/>
                <w:szCs w:val="20"/>
              </w:rPr>
              <w:t>POWER WHEELCHAIR ACCESSORY, ELECTRONIC CONNECTION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20BD79" w14:textId="3687E66F" w:rsidR="00BF76CA" w:rsidRPr="002D0185" w:rsidRDefault="00BF76CA" w:rsidP="00BF7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3251" w:type="dxa"/>
            <w:shd w:val="clear" w:color="auto" w:fill="auto"/>
            <w:noWrap/>
            <w:vAlign w:val="center"/>
          </w:tcPr>
          <w:p w14:paraId="5D1192BD" w14:textId="16A01242" w:rsidR="00BF76CA" w:rsidRDefault="00BF76CA" w:rsidP="00BF7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longer </w:t>
            </w:r>
            <w:r w:rsidRPr="002D018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</w:t>
            </w:r>
          </w:p>
        </w:tc>
      </w:tr>
    </w:tbl>
    <w:p w14:paraId="198DC991" w14:textId="77777777" w:rsidR="008E3D7E" w:rsidRPr="008E3D7E" w:rsidRDefault="008E3D7E" w:rsidP="008E3D7E">
      <w:pPr>
        <w:pStyle w:val="NoSpacing"/>
        <w:ind w:left="-540" w:right="-720"/>
        <w:rPr>
          <w:sz w:val="18"/>
          <w:szCs w:val="18"/>
        </w:rPr>
      </w:pPr>
    </w:p>
    <w:p w14:paraId="0EE68FFA" w14:textId="4D4CE22D" w:rsidR="00123E38" w:rsidRDefault="000E0701" w:rsidP="008E3D7E">
      <w:pPr>
        <w:pStyle w:val="NoSpacing"/>
        <w:ind w:left="-540" w:right="-720"/>
        <w:rPr>
          <w:sz w:val="24"/>
        </w:rPr>
      </w:pPr>
      <w:r>
        <w:t xml:space="preserve">We encourage you to reference the </w:t>
      </w:r>
      <w:hyperlink r:id="rId9" w:history="1">
        <w:r w:rsidRPr="000E0701">
          <w:rPr>
            <w:rStyle w:val="Hyperlink"/>
          </w:rPr>
          <w:t>Prior Authorization Code Level Look-up</w:t>
        </w:r>
      </w:hyperlink>
      <w:r>
        <w:t xml:space="preserve"> for a complete listing of PA requirements.</w:t>
      </w:r>
    </w:p>
    <w:p w14:paraId="264F4135" w14:textId="77777777" w:rsidR="0051376F" w:rsidRPr="008E3D7E" w:rsidRDefault="0051376F" w:rsidP="004054DB">
      <w:pPr>
        <w:pStyle w:val="NoSpacing"/>
        <w:ind w:left="-540" w:right="-540"/>
        <w:rPr>
          <w:sz w:val="12"/>
          <w:szCs w:val="12"/>
        </w:rPr>
      </w:pPr>
    </w:p>
    <w:p w14:paraId="4AFB5B4C" w14:textId="2664A6E6" w:rsidR="0051376F" w:rsidRPr="00D529E3" w:rsidRDefault="00D529E3" w:rsidP="00724464">
      <w:pPr>
        <w:pStyle w:val="NoSpacing"/>
        <w:ind w:left="-540" w:right="-540"/>
        <w:rPr>
          <w:b/>
          <w:color w:val="2F5496" w:themeColor="accent1" w:themeShade="BF"/>
          <w:sz w:val="28"/>
          <w:szCs w:val="28"/>
        </w:rPr>
      </w:pPr>
      <w:r w:rsidRPr="00D529E3">
        <w:rPr>
          <w:b/>
          <w:color w:val="2F5496" w:themeColor="accent1" w:themeShade="BF"/>
          <w:sz w:val="28"/>
          <w:szCs w:val="28"/>
        </w:rPr>
        <w:t>Contact Us</w:t>
      </w:r>
    </w:p>
    <w:p w14:paraId="61C0D1CD" w14:textId="7B061E2C" w:rsidR="00446E7F" w:rsidRDefault="00724464" w:rsidP="00660628">
      <w:pPr>
        <w:pStyle w:val="NoSpacing"/>
        <w:ind w:left="-540" w:right="-720"/>
      </w:pPr>
      <w:r>
        <w:t xml:space="preserve">If you have any questions or would like additional information, please contact CountyCare Provider Services at </w:t>
      </w:r>
      <w:hyperlink r:id="rId10" w:history="1">
        <w:r w:rsidRPr="00E75296">
          <w:rPr>
            <w:rStyle w:val="Hyperlink"/>
          </w:rPr>
          <w:t>ProviderServices@countycare.com</w:t>
        </w:r>
      </w:hyperlink>
      <w:r>
        <w:t xml:space="preserve"> or your Provider Relations Representative.</w:t>
      </w:r>
    </w:p>
    <w:p w14:paraId="34C07F16" w14:textId="57D847A2" w:rsidR="00BF76CA" w:rsidRDefault="00BF76CA" w:rsidP="00660628">
      <w:pPr>
        <w:pStyle w:val="NoSpacing"/>
        <w:ind w:left="-540" w:right="-720"/>
      </w:pPr>
    </w:p>
    <w:sectPr w:rsidR="00BF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Slab">
    <w:altName w:val="Roboto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62"/>
    <w:rsid w:val="00012362"/>
    <w:rsid w:val="000608A5"/>
    <w:rsid w:val="000851B7"/>
    <w:rsid w:val="000A2316"/>
    <w:rsid w:val="000E0701"/>
    <w:rsid w:val="00123E38"/>
    <w:rsid w:val="001445BD"/>
    <w:rsid w:val="00223F18"/>
    <w:rsid w:val="00262EA0"/>
    <w:rsid w:val="00266834"/>
    <w:rsid w:val="0027448F"/>
    <w:rsid w:val="002A5637"/>
    <w:rsid w:val="002D0185"/>
    <w:rsid w:val="002D76D5"/>
    <w:rsid w:val="003C6B37"/>
    <w:rsid w:val="004054DB"/>
    <w:rsid w:val="00446E7F"/>
    <w:rsid w:val="00486A93"/>
    <w:rsid w:val="005120EC"/>
    <w:rsid w:val="0051376F"/>
    <w:rsid w:val="00573BEF"/>
    <w:rsid w:val="00660628"/>
    <w:rsid w:val="006924DA"/>
    <w:rsid w:val="006A23CE"/>
    <w:rsid w:val="00704086"/>
    <w:rsid w:val="00724464"/>
    <w:rsid w:val="007F0902"/>
    <w:rsid w:val="008E3D7E"/>
    <w:rsid w:val="00903DBE"/>
    <w:rsid w:val="009A5B0F"/>
    <w:rsid w:val="009F5EE7"/>
    <w:rsid w:val="00AB4A4F"/>
    <w:rsid w:val="00B4149A"/>
    <w:rsid w:val="00BA2B80"/>
    <w:rsid w:val="00BC1612"/>
    <w:rsid w:val="00BF2B05"/>
    <w:rsid w:val="00BF76CA"/>
    <w:rsid w:val="00D529E3"/>
    <w:rsid w:val="00FD2D95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09A9"/>
  <w15:chartTrackingRefBased/>
  <w15:docId w15:val="{15433A8C-6D43-4716-8264-AFDF242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E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F18"/>
    <w:rPr>
      <w:color w:val="954F72" w:themeColor="followedHyperlink"/>
      <w:u w:val="single"/>
    </w:rPr>
  </w:style>
  <w:style w:type="character" w:customStyle="1" w:styleId="A2">
    <w:name w:val="A2"/>
    <w:uiPriority w:val="99"/>
    <w:rsid w:val="00223F18"/>
    <w:rPr>
      <w:rFonts w:cs="Roboto Slab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2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B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07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7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viderServices@countycare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untycare.com/resource/prior-authorization-cpt-look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C1A89027ACE4FAD8A80363DC0C86E" ma:contentTypeVersion="4" ma:contentTypeDescription="Create a new document." ma:contentTypeScope="" ma:versionID="98643e5aaea328e03652f7ab27dfd9ec">
  <xsd:schema xmlns:xsd="http://www.w3.org/2001/XMLSchema" xmlns:xs="http://www.w3.org/2001/XMLSchema" xmlns:p="http://schemas.microsoft.com/office/2006/metadata/properties" xmlns:ns3="bbd32dc0-0216-4664-8ba6-c4b6f5b2ff25" targetNamespace="http://schemas.microsoft.com/office/2006/metadata/properties" ma:root="true" ma:fieldsID="0aaa39ae2ce7e613db57ac820f336480" ns3:_="">
    <xsd:import namespace="bbd32dc0-0216-4664-8ba6-c4b6f5b2ff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2dc0-0216-4664-8ba6-c4b6f5b2f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E154-8368-4E13-AFFE-263A001E5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BC334-A16C-453A-9881-9D449A895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45B69-3E1A-4F9E-98BD-898FD356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32dc0-0216-4664-8ba6-c4b6f5b2f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802E0-43DD-48E7-B2A9-96DFE434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Kim</dc:creator>
  <cp:keywords/>
  <dc:description/>
  <cp:lastModifiedBy>Caroline Boissoneault</cp:lastModifiedBy>
  <cp:revision>2</cp:revision>
  <dcterms:created xsi:type="dcterms:W3CDTF">2020-12-29T17:18:00Z</dcterms:created>
  <dcterms:modified xsi:type="dcterms:W3CDTF">2020-12-29T17:18:00Z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0x0101005D4C1A89027ACE4FAD8A80363DC0C86E</vt:lpwstr>
  </property>
</Properties>
</file>