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4AF73139" w:rsidR="00E768E6" w:rsidRDefault="00B21AF9" w:rsidP="00A03DEC">
      <w:pPr>
        <w:pStyle w:val="Title"/>
      </w:pPr>
      <w:r>
        <w:t>E</w:t>
      </w:r>
      <w:r w:rsidR="21CF55F4">
        <w:t>VH</w:t>
      </w:r>
      <w:r>
        <w:t xml:space="preserve"> Clinical Guideline</w:t>
      </w:r>
      <w:r w:rsidR="00003722">
        <w:t xml:space="preserve"> 5034</w:t>
      </w:r>
      <w:r w:rsidR="005F7F01">
        <w:t>.CC</w:t>
      </w:r>
      <w:r>
        <w:t xml:space="preserve"> for </w:t>
      </w:r>
      <w:r w:rsidR="00774AA8">
        <w:t>Spinraza (Nusinersen)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2A6FA702"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003722">
              <w:rPr>
                <w:b w:val="0"/>
                <w:bCs/>
              </w:rPr>
              <w:t>5034</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5B51FF69" w:rsidR="00E768E6" w:rsidRDefault="00B21AF9" w:rsidP="006F2FF7">
            <w:pPr>
              <w:pStyle w:val="TitleTable"/>
            </w:pPr>
            <w:r>
              <w:rPr>
                <w:i/>
                <w:iCs/>
              </w:rPr>
              <w:t>© 202</w:t>
            </w:r>
            <w:r w:rsidR="00B64842">
              <w:rPr>
                <w:i/>
                <w:iCs/>
              </w:rPr>
              <w:t xml:space="preserve">2 </w:t>
            </w:r>
            <w:r w:rsidR="002B4658">
              <w:rPr>
                <w:i/>
                <w:iCs/>
              </w:rPr>
              <w:t>-</w:t>
            </w:r>
            <w:r w:rsidR="00B64842">
              <w:rPr>
                <w:i/>
                <w:iCs/>
              </w:rPr>
              <w:t xml:space="preserve"> 202</w:t>
            </w:r>
            <w:r w:rsidR="003E3C4A">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78DB6B74" w:rsidR="00E768E6" w:rsidRPr="006F2FF7" w:rsidRDefault="003E3C4A" w:rsidP="006F2FF7">
            <w:pPr>
              <w:pStyle w:val="TitleTable"/>
              <w:rPr>
                <w:b w:val="0"/>
                <w:bCs/>
              </w:rPr>
            </w:pPr>
            <w:r>
              <w:rPr>
                <w:b w:val="0"/>
                <w:bCs/>
              </w:rPr>
              <w:t>March 2022</w:t>
            </w:r>
          </w:p>
        </w:tc>
        <w:tc>
          <w:tcPr>
            <w:tcW w:w="1686" w:type="pct"/>
          </w:tcPr>
          <w:p w14:paraId="50F6E751" w14:textId="77777777" w:rsidR="00E768E6" w:rsidRDefault="00B21AF9" w:rsidP="006F2FF7">
            <w:pPr>
              <w:pStyle w:val="TitleTable"/>
            </w:pPr>
            <w:r>
              <w:t>Last Revised Date:</w:t>
            </w:r>
          </w:p>
          <w:p w14:paraId="50F6E752" w14:textId="53828099" w:rsidR="00E768E6" w:rsidRPr="006F2FF7" w:rsidRDefault="00020083" w:rsidP="006F2FF7">
            <w:pPr>
              <w:pStyle w:val="TitleTable"/>
              <w:rPr>
                <w:b w:val="0"/>
                <w:bCs/>
              </w:rPr>
            </w:pPr>
            <w:r>
              <w:rPr>
                <w:b w:val="0"/>
                <w:bCs/>
              </w:rPr>
              <w:t>M</w:t>
            </w:r>
            <w:r w:rsidR="003E3C4A">
              <w:rPr>
                <w:b w:val="0"/>
                <w:bCs/>
              </w:rPr>
              <w:t>arch 202</w:t>
            </w:r>
            <w:r w:rsidR="00402C76">
              <w:rPr>
                <w:b w:val="0"/>
                <w:bCs/>
              </w:rPr>
              <w:t>6</w:t>
            </w:r>
          </w:p>
        </w:tc>
        <w:tc>
          <w:tcPr>
            <w:tcW w:w="1459" w:type="pct"/>
          </w:tcPr>
          <w:p w14:paraId="50F6E753" w14:textId="77777777" w:rsidR="00E768E6" w:rsidRDefault="00B21AF9" w:rsidP="006F2FF7">
            <w:pPr>
              <w:pStyle w:val="TitleTable"/>
            </w:pPr>
            <w:r>
              <w:t>Implementation Date:</w:t>
            </w:r>
          </w:p>
          <w:p w14:paraId="50F6E754" w14:textId="7B13F0C9" w:rsidR="00E768E6" w:rsidRPr="006F2FF7" w:rsidRDefault="00402C76" w:rsidP="006F2FF7">
            <w:pPr>
              <w:pStyle w:val="TitleTable"/>
              <w:rPr>
                <w:b w:val="0"/>
                <w:bCs/>
              </w:rPr>
            </w:pPr>
            <w:r>
              <w:rPr>
                <w:b w:val="0"/>
                <w:bCs/>
              </w:rPr>
              <w:t>June 2026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2B9D0FFA" w14:textId="42ED82F1" w:rsidR="006D3033"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70464" w:history="1">
            <w:r w:rsidR="006D3033" w:rsidRPr="00B65A99">
              <w:rPr>
                <w:rStyle w:val="Hyperlink"/>
                <w:noProof/>
              </w:rPr>
              <w:t>Statement</w:t>
            </w:r>
            <w:r w:rsidR="006D3033">
              <w:rPr>
                <w:noProof/>
                <w:webHidden/>
              </w:rPr>
              <w:tab/>
            </w:r>
            <w:r w:rsidR="006D3033">
              <w:rPr>
                <w:noProof/>
                <w:webHidden/>
              </w:rPr>
              <w:fldChar w:fldCharType="begin"/>
            </w:r>
            <w:r w:rsidR="006D3033">
              <w:rPr>
                <w:noProof/>
                <w:webHidden/>
              </w:rPr>
              <w:instrText xml:space="preserve"> PAGEREF _Toc225170464 \h </w:instrText>
            </w:r>
            <w:r w:rsidR="006D3033">
              <w:rPr>
                <w:noProof/>
                <w:webHidden/>
              </w:rPr>
            </w:r>
            <w:r w:rsidR="006D3033">
              <w:rPr>
                <w:noProof/>
                <w:webHidden/>
              </w:rPr>
              <w:fldChar w:fldCharType="separate"/>
            </w:r>
            <w:r w:rsidR="006D3033">
              <w:rPr>
                <w:noProof/>
                <w:webHidden/>
              </w:rPr>
              <w:t>2</w:t>
            </w:r>
            <w:r w:rsidR="006D3033">
              <w:rPr>
                <w:noProof/>
                <w:webHidden/>
              </w:rPr>
              <w:fldChar w:fldCharType="end"/>
            </w:r>
          </w:hyperlink>
        </w:p>
        <w:p w14:paraId="437AAB4F" w14:textId="216F78BF" w:rsidR="006D3033" w:rsidRDefault="006D303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0465" w:history="1">
            <w:r w:rsidRPr="00B65A99">
              <w:rPr>
                <w:rStyle w:val="Hyperlink"/>
                <w:noProof/>
              </w:rPr>
              <w:t>General Information</w:t>
            </w:r>
            <w:r>
              <w:rPr>
                <w:noProof/>
                <w:webHidden/>
              </w:rPr>
              <w:tab/>
            </w:r>
            <w:r>
              <w:rPr>
                <w:noProof/>
                <w:webHidden/>
              </w:rPr>
              <w:fldChar w:fldCharType="begin"/>
            </w:r>
            <w:r>
              <w:rPr>
                <w:noProof/>
                <w:webHidden/>
              </w:rPr>
              <w:instrText xml:space="preserve"> PAGEREF _Toc225170465 \h </w:instrText>
            </w:r>
            <w:r>
              <w:rPr>
                <w:noProof/>
                <w:webHidden/>
              </w:rPr>
            </w:r>
            <w:r>
              <w:rPr>
                <w:noProof/>
                <w:webHidden/>
              </w:rPr>
              <w:fldChar w:fldCharType="separate"/>
            </w:r>
            <w:r>
              <w:rPr>
                <w:noProof/>
                <w:webHidden/>
              </w:rPr>
              <w:t>2</w:t>
            </w:r>
            <w:r>
              <w:rPr>
                <w:noProof/>
                <w:webHidden/>
              </w:rPr>
              <w:fldChar w:fldCharType="end"/>
            </w:r>
          </w:hyperlink>
        </w:p>
        <w:p w14:paraId="540AC619" w14:textId="337943EB" w:rsidR="006D3033" w:rsidRDefault="006D303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0466" w:history="1">
            <w:r w:rsidRPr="00B65A99">
              <w:rPr>
                <w:rStyle w:val="Hyperlink"/>
                <w:noProof/>
              </w:rPr>
              <w:t>Purpose</w:t>
            </w:r>
            <w:r>
              <w:rPr>
                <w:noProof/>
                <w:webHidden/>
              </w:rPr>
              <w:tab/>
            </w:r>
            <w:r>
              <w:rPr>
                <w:noProof/>
                <w:webHidden/>
              </w:rPr>
              <w:fldChar w:fldCharType="begin"/>
            </w:r>
            <w:r>
              <w:rPr>
                <w:noProof/>
                <w:webHidden/>
              </w:rPr>
              <w:instrText xml:space="preserve"> PAGEREF _Toc225170466 \h </w:instrText>
            </w:r>
            <w:r>
              <w:rPr>
                <w:noProof/>
                <w:webHidden/>
              </w:rPr>
            </w:r>
            <w:r>
              <w:rPr>
                <w:noProof/>
                <w:webHidden/>
              </w:rPr>
              <w:fldChar w:fldCharType="separate"/>
            </w:r>
            <w:r>
              <w:rPr>
                <w:noProof/>
                <w:webHidden/>
              </w:rPr>
              <w:t>2</w:t>
            </w:r>
            <w:r>
              <w:rPr>
                <w:noProof/>
                <w:webHidden/>
              </w:rPr>
              <w:fldChar w:fldCharType="end"/>
            </w:r>
          </w:hyperlink>
        </w:p>
        <w:p w14:paraId="3C5E831A" w14:textId="0A48021B" w:rsidR="006D3033" w:rsidRDefault="006D303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0467" w:history="1">
            <w:r w:rsidRPr="00B65A99">
              <w:rPr>
                <w:rStyle w:val="Hyperlink"/>
                <w:noProof/>
              </w:rPr>
              <w:t>Scope</w:t>
            </w:r>
            <w:r>
              <w:rPr>
                <w:noProof/>
                <w:webHidden/>
              </w:rPr>
              <w:tab/>
            </w:r>
            <w:r>
              <w:rPr>
                <w:noProof/>
                <w:webHidden/>
              </w:rPr>
              <w:fldChar w:fldCharType="begin"/>
            </w:r>
            <w:r>
              <w:rPr>
                <w:noProof/>
                <w:webHidden/>
              </w:rPr>
              <w:instrText xml:space="preserve"> PAGEREF _Toc225170467 \h </w:instrText>
            </w:r>
            <w:r>
              <w:rPr>
                <w:noProof/>
                <w:webHidden/>
              </w:rPr>
            </w:r>
            <w:r>
              <w:rPr>
                <w:noProof/>
                <w:webHidden/>
              </w:rPr>
              <w:fldChar w:fldCharType="separate"/>
            </w:r>
            <w:r>
              <w:rPr>
                <w:noProof/>
                <w:webHidden/>
              </w:rPr>
              <w:t>2</w:t>
            </w:r>
            <w:r>
              <w:rPr>
                <w:noProof/>
                <w:webHidden/>
              </w:rPr>
              <w:fldChar w:fldCharType="end"/>
            </w:r>
          </w:hyperlink>
        </w:p>
        <w:p w14:paraId="10D84401" w14:textId="2645BA4C" w:rsidR="006D3033" w:rsidRDefault="006D303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0468" w:history="1">
            <w:r w:rsidRPr="00B65A99">
              <w:rPr>
                <w:rStyle w:val="Hyperlink"/>
                <w:noProof/>
              </w:rPr>
              <w:t>INITIAL REVIEW CRITERIA</w:t>
            </w:r>
            <w:r>
              <w:rPr>
                <w:noProof/>
                <w:webHidden/>
              </w:rPr>
              <w:tab/>
            </w:r>
            <w:r>
              <w:rPr>
                <w:noProof/>
                <w:webHidden/>
              </w:rPr>
              <w:fldChar w:fldCharType="begin"/>
            </w:r>
            <w:r>
              <w:rPr>
                <w:noProof/>
                <w:webHidden/>
              </w:rPr>
              <w:instrText xml:space="preserve"> PAGEREF _Toc225170468 \h </w:instrText>
            </w:r>
            <w:r>
              <w:rPr>
                <w:noProof/>
                <w:webHidden/>
              </w:rPr>
            </w:r>
            <w:r>
              <w:rPr>
                <w:noProof/>
                <w:webHidden/>
              </w:rPr>
              <w:fldChar w:fldCharType="separate"/>
            </w:r>
            <w:r>
              <w:rPr>
                <w:noProof/>
                <w:webHidden/>
              </w:rPr>
              <w:t>2</w:t>
            </w:r>
            <w:r>
              <w:rPr>
                <w:noProof/>
                <w:webHidden/>
              </w:rPr>
              <w:fldChar w:fldCharType="end"/>
            </w:r>
          </w:hyperlink>
        </w:p>
        <w:p w14:paraId="53B59FBF" w14:textId="568D1D29" w:rsidR="006D3033" w:rsidRDefault="006D303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0469" w:history="1">
            <w:r w:rsidRPr="00B65A99">
              <w:rPr>
                <w:rStyle w:val="Hyperlink"/>
                <w:noProof/>
              </w:rPr>
              <w:t>Reauthorization Criteria</w:t>
            </w:r>
            <w:r>
              <w:rPr>
                <w:noProof/>
                <w:webHidden/>
              </w:rPr>
              <w:tab/>
            </w:r>
            <w:r>
              <w:rPr>
                <w:noProof/>
                <w:webHidden/>
              </w:rPr>
              <w:fldChar w:fldCharType="begin"/>
            </w:r>
            <w:r>
              <w:rPr>
                <w:noProof/>
                <w:webHidden/>
              </w:rPr>
              <w:instrText xml:space="preserve"> PAGEREF _Toc225170469 \h </w:instrText>
            </w:r>
            <w:r>
              <w:rPr>
                <w:noProof/>
                <w:webHidden/>
              </w:rPr>
            </w:r>
            <w:r>
              <w:rPr>
                <w:noProof/>
                <w:webHidden/>
              </w:rPr>
              <w:fldChar w:fldCharType="separate"/>
            </w:r>
            <w:r>
              <w:rPr>
                <w:noProof/>
                <w:webHidden/>
              </w:rPr>
              <w:t>3</w:t>
            </w:r>
            <w:r>
              <w:rPr>
                <w:noProof/>
                <w:webHidden/>
              </w:rPr>
              <w:fldChar w:fldCharType="end"/>
            </w:r>
          </w:hyperlink>
        </w:p>
        <w:p w14:paraId="79BE43DD" w14:textId="080693D6" w:rsidR="006D3033" w:rsidRDefault="006D303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0470" w:history="1">
            <w:r w:rsidRPr="00B65A99">
              <w:rPr>
                <w:rStyle w:val="Hyperlink"/>
                <w:noProof/>
              </w:rPr>
              <w:t>Approval Durations</w:t>
            </w:r>
            <w:r>
              <w:rPr>
                <w:noProof/>
                <w:webHidden/>
              </w:rPr>
              <w:tab/>
            </w:r>
            <w:r>
              <w:rPr>
                <w:noProof/>
                <w:webHidden/>
              </w:rPr>
              <w:fldChar w:fldCharType="begin"/>
            </w:r>
            <w:r>
              <w:rPr>
                <w:noProof/>
                <w:webHidden/>
              </w:rPr>
              <w:instrText xml:space="preserve"> PAGEREF _Toc225170470 \h </w:instrText>
            </w:r>
            <w:r>
              <w:rPr>
                <w:noProof/>
                <w:webHidden/>
              </w:rPr>
            </w:r>
            <w:r>
              <w:rPr>
                <w:noProof/>
                <w:webHidden/>
              </w:rPr>
              <w:fldChar w:fldCharType="separate"/>
            </w:r>
            <w:r>
              <w:rPr>
                <w:noProof/>
                <w:webHidden/>
              </w:rPr>
              <w:t>4</w:t>
            </w:r>
            <w:r>
              <w:rPr>
                <w:noProof/>
                <w:webHidden/>
              </w:rPr>
              <w:fldChar w:fldCharType="end"/>
            </w:r>
          </w:hyperlink>
        </w:p>
        <w:p w14:paraId="133E818E" w14:textId="745E30FA" w:rsidR="006D3033" w:rsidRDefault="006D303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0471" w:history="1">
            <w:r w:rsidRPr="00B65A99">
              <w:rPr>
                <w:rStyle w:val="Hyperlink"/>
                <w:noProof/>
              </w:rPr>
              <w:t>Coding and Standards</w:t>
            </w:r>
            <w:r>
              <w:rPr>
                <w:noProof/>
                <w:webHidden/>
              </w:rPr>
              <w:tab/>
            </w:r>
            <w:r>
              <w:rPr>
                <w:noProof/>
                <w:webHidden/>
              </w:rPr>
              <w:fldChar w:fldCharType="begin"/>
            </w:r>
            <w:r>
              <w:rPr>
                <w:noProof/>
                <w:webHidden/>
              </w:rPr>
              <w:instrText xml:space="preserve"> PAGEREF _Toc225170471 \h </w:instrText>
            </w:r>
            <w:r>
              <w:rPr>
                <w:noProof/>
                <w:webHidden/>
              </w:rPr>
            </w:r>
            <w:r>
              <w:rPr>
                <w:noProof/>
                <w:webHidden/>
              </w:rPr>
              <w:fldChar w:fldCharType="separate"/>
            </w:r>
            <w:r>
              <w:rPr>
                <w:noProof/>
                <w:webHidden/>
              </w:rPr>
              <w:t>4</w:t>
            </w:r>
            <w:r>
              <w:rPr>
                <w:noProof/>
                <w:webHidden/>
              </w:rPr>
              <w:fldChar w:fldCharType="end"/>
            </w:r>
          </w:hyperlink>
        </w:p>
        <w:p w14:paraId="5FFCD942" w14:textId="32341A22" w:rsidR="006D3033" w:rsidRDefault="006D303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0472" w:history="1">
            <w:r w:rsidRPr="00B65A99">
              <w:rPr>
                <w:rStyle w:val="Hyperlink"/>
                <w:noProof/>
              </w:rPr>
              <w:t>Codes</w:t>
            </w:r>
            <w:r>
              <w:rPr>
                <w:noProof/>
                <w:webHidden/>
              </w:rPr>
              <w:tab/>
            </w:r>
            <w:r>
              <w:rPr>
                <w:noProof/>
                <w:webHidden/>
              </w:rPr>
              <w:fldChar w:fldCharType="begin"/>
            </w:r>
            <w:r>
              <w:rPr>
                <w:noProof/>
                <w:webHidden/>
              </w:rPr>
              <w:instrText xml:space="preserve"> PAGEREF _Toc225170472 \h </w:instrText>
            </w:r>
            <w:r>
              <w:rPr>
                <w:noProof/>
                <w:webHidden/>
              </w:rPr>
            </w:r>
            <w:r>
              <w:rPr>
                <w:noProof/>
                <w:webHidden/>
              </w:rPr>
              <w:fldChar w:fldCharType="separate"/>
            </w:r>
            <w:r>
              <w:rPr>
                <w:noProof/>
                <w:webHidden/>
              </w:rPr>
              <w:t>4</w:t>
            </w:r>
            <w:r>
              <w:rPr>
                <w:noProof/>
                <w:webHidden/>
              </w:rPr>
              <w:fldChar w:fldCharType="end"/>
            </w:r>
          </w:hyperlink>
        </w:p>
        <w:p w14:paraId="0227AD6B" w14:textId="61D92665" w:rsidR="006D3033" w:rsidRDefault="006D303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0473" w:history="1">
            <w:r w:rsidRPr="00B65A99">
              <w:rPr>
                <w:rStyle w:val="Hyperlink"/>
                <w:noProof/>
              </w:rPr>
              <w:t>Applicable Lines of Business</w:t>
            </w:r>
            <w:r>
              <w:rPr>
                <w:noProof/>
                <w:webHidden/>
              </w:rPr>
              <w:tab/>
            </w:r>
            <w:r>
              <w:rPr>
                <w:noProof/>
                <w:webHidden/>
              </w:rPr>
              <w:fldChar w:fldCharType="begin"/>
            </w:r>
            <w:r>
              <w:rPr>
                <w:noProof/>
                <w:webHidden/>
              </w:rPr>
              <w:instrText xml:space="preserve"> PAGEREF _Toc225170473 \h </w:instrText>
            </w:r>
            <w:r>
              <w:rPr>
                <w:noProof/>
                <w:webHidden/>
              </w:rPr>
            </w:r>
            <w:r>
              <w:rPr>
                <w:noProof/>
                <w:webHidden/>
              </w:rPr>
              <w:fldChar w:fldCharType="separate"/>
            </w:r>
            <w:r>
              <w:rPr>
                <w:noProof/>
                <w:webHidden/>
              </w:rPr>
              <w:t>4</w:t>
            </w:r>
            <w:r>
              <w:rPr>
                <w:noProof/>
                <w:webHidden/>
              </w:rPr>
              <w:fldChar w:fldCharType="end"/>
            </w:r>
          </w:hyperlink>
        </w:p>
        <w:p w14:paraId="47349FB0" w14:textId="1C8DDA92" w:rsidR="006D3033" w:rsidRDefault="006D303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0474" w:history="1">
            <w:r w:rsidRPr="00B65A99">
              <w:rPr>
                <w:rStyle w:val="Hyperlink"/>
                <w:noProof/>
              </w:rPr>
              <w:t>Background</w:t>
            </w:r>
            <w:r>
              <w:rPr>
                <w:noProof/>
                <w:webHidden/>
              </w:rPr>
              <w:tab/>
            </w:r>
            <w:r>
              <w:rPr>
                <w:noProof/>
                <w:webHidden/>
              </w:rPr>
              <w:fldChar w:fldCharType="begin"/>
            </w:r>
            <w:r>
              <w:rPr>
                <w:noProof/>
                <w:webHidden/>
              </w:rPr>
              <w:instrText xml:space="preserve"> PAGEREF _Toc225170474 \h </w:instrText>
            </w:r>
            <w:r>
              <w:rPr>
                <w:noProof/>
                <w:webHidden/>
              </w:rPr>
            </w:r>
            <w:r>
              <w:rPr>
                <w:noProof/>
                <w:webHidden/>
              </w:rPr>
              <w:fldChar w:fldCharType="separate"/>
            </w:r>
            <w:r>
              <w:rPr>
                <w:noProof/>
                <w:webHidden/>
              </w:rPr>
              <w:t>4</w:t>
            </w:r>
            <w:r>
              <w:rPr>
                <w:noProof/>
                <w:webHidden/>
              </w:rPr>
              <w:fldChar w:fldCharType="end"/>
            </w:r>
          </w:hyperlink>
        </w:p>
        <w:p w14:paraId="48DEF729" w14:textId="63C9A9D2" w:rsidR="006D3033" w:rsidRDefault="006D303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0475" w:history="1">
            <w:r w:rsidRPr="00B65A99">
              <w:rPr>
                <w:rStyle w:val="Hyperlink"/>
                <w:noProof/>
              </w:rPr>
              <w:t>Definitions</w:t>
            </w:r>
            <w:r>
              <w:rPr>
                <w:noProof/>
                <w:webHidden/>
              </w:rPr>
              <w:tab/>
            </w:r>
            <w:r>
              <w:rPr>
                <w:noProof/>
                <w:webHidden/>
              </w:rPr>
              <w:fldChar w:fldCharType="begin"/>
            </w:r>
            <w:r>
              <w:rPr>
                <w:noProof/>
                <w:webHidden/>
              </w:rPr>
              <w:instrText xml:space="preserve"> PAGEREF _Toc225170475 \h </w:instrText>
            </w:r>
            <w:r>
              <w:rPr>
                <w:noProof/>
                <w:webHidden/>
              </w:rPr>
            </w:r>
            <w:r>
              <w:rPr>
                <w:noProof/>
                <w:webHidden/>
              </w:rPr>
              <w:fldChar w:fldCharType="separate"/>
            </w:r>
            <w:r>
              <w:rPr>
                <w:noProof/>
                <w:webHidden/>
              </w:rPr>
              <w:t>4</w:t>
            </w:r>
            <w:r>
              <w:rPr>
                <w:noProof/>
                <w:webHidden/>
              </w:rPr>
              <w:fldChar w:fldCharType="end"/>
            </w:r>
          </w:hyperlink>
        </w:p>
        <w:p w14:paraId="2CBCB0AB" w14:textId="6520E8BB" w:rsidR="006D3033" w:rsidRDefault="006D303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0476" w:history="1">
            <w:r w:rsidRPr="00B65A99">
              <w:rPr>
                <w:rStyle w:val="Hyperlink"/>
                <w:noProof/>
              </w:rPr>
              <w:t>Policy History</w:t>
            </w:r>
            <w:r>
              <w:rPr>
                <w:noProof/>
                <w:webHidden/>
              </w:rPr>
              <w:tab/>
            </w:r>
            <w:r>
              <w:rPr>
                <w:noProof/>
                <w:webHidden/>
              </w:rPr>
              <w:fldChar w:fldCharType="begin"/>
            </w:r>
            <w:r>
              <w:rPr>
                <w:noProof/>
                <w:webHidden/>
              </w:rPr>
              <w:instrText xml:space="preserve"> PAGEREF _Toc225170476 \h </w:instrText>
            </w:r>
            <w:r>
              <w:rPr>
                <w:noProof/>
                <w:webHidden/>
              </w:rPr>
            </w:r>
            <w:r>
              <w:rPr>
                <w:noProof/>
                <w:webHidden/>
              </w:rPr>
              <w:fldChar w:fldCharType="separate"/>
            </w:r>
            <w:r>
              <w:rPr>
                <w:noProof/>
                <w:webHidden/>
              </w:rPr>
              <w:t>5</w:t>
            </w:r>
            <w:r>
              <w:rPr>
                <w:noProof/>
                <w:webHidden/>
              </w:rPr>
              <w:fldChar w:fldCharType="end"/>
            </w:r>
          </w:hyperlink>
        </w:p>
        <w:p w14:paraId="5DD2629E" w14:textId="55583BCC" w:rsidR="006D3033" w:rsidRDefault="006D303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0477" w:history="1">
            <w:r w:rsidRPr="00B65A99">
              <w:rPr>
                <w:rStyle w:val="Hyperlink"/>
                <w:noProof/>
              </w:rPr>
              <w:t>Legal and Compliance</w:t>
            </w:r>
            <w:r>
              <w:rPr>
                <w:noProof/>
                <w:webHidden/>
              </w:rPr>
              <w:tab/>
            </w:r>
            <w:r>
              <w:rPr>
                <w:noProof/>
                <w:webHidden/>
              </w:rPr>
              <w:fldChar w:fldCharType="begin"/>
            </w:r>
            <w:r>
              <w:rPr>
                <w:noProof/>
                <w:webHidden/>
              </w:rPr>
              <w:instrText xml:space="preserve"> PAGEREF _Toc225170477 \h </w:instrText>
            </w:r>
            <w:r>
              <w:rPr>
                <w:noProof/>
                <w:webHidden/>
              </w:rPr>
            </w:r>
            <w:r>
              <w:rPr>
                <w:noProof/>
                <w:webHidden/>
              </w:rPr>
              <w:fldChar w:fldCharType="separate"/>
            </w:r>
            <w:r>
              <w:rPr>
                <w:noProof/>
                <w:webHidden/>
              </w:rPr>
              <w:t>5</w:t>
            </w:r>
            <w:r>
              <w:rPr>
                <w:noProof/>
                <w:webHidden/>
              </w:rPr>
              <w:fldChar w:fldCharType="end"/>
            </w:r>
          </w:hyperlink>
        </w:p>
        <w:p w14:paraId="6B1E20B6" w14:textId="18B6B68B" w:rsidR="006D3033" w:rsidRDefault="006D303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0478" w:history="1">
            <w:r w:rsidRPr="00B65A99">
              <w:rPr>
                <w:rStyle w:val="Hyperlink"/>
                <w:noProof/>
              </w:rPr>
              <w:t>Guideline Approval</w:t>
            </w:r>
            <w:r>
              <w:rPr>
                <w:noProof/>
                <w:webHidden/>
              </w:rPr>
              <w:tab/>
            </w:r>
            <w:r>
              <w:rPr>
                <w:noProof/>
                <w:webHidden/>
              </w:rPr>
              <w:fldChar w:fldCharType="begin"/>
            </w:r>
            <w:r>
              <w:rPr>
                <w:noProof/>
                <w:webHidden/>
              </w:rPr>
              <w:instrText xml:space="preserve"> PAGEREF _Toc225170478 \h </w:instrText>
            </w:r>
            <w:r>
              <w:rPr>
                <w:noProof/>
                <w:webHidden/>
              </w:rPr>
            </w:r>
            <w:r>
              <w:rPr>
                <w:noProof/>
                <w:webHidden/>
              </w:rPr>
              <w:fldChar w:fldCharType="separate"/>
            </w:r>
            <w:r>
              <w:rPr>
                <w:noProof/>
                <w:webHidden/>
              </w:rPr>
              <w:t>5</w:t>
            </w:r>
            <w:r>
              <w:rPr>
                <w:noProof/>
                <w:webHidden/>
              </w:rPr>
              <w:fldChar w:fldCharType="end"/>
            </w:r>
          </w:hyperlink>
        </w:p>
        <w:p w14:paraId="7DD9D3BC" w14:textId="095F0F0D" w:rsidR="006D3033" w:rsidRDefault="006D3033">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70479" w:history="1">
            <w:r w:rsidRPr="00B65A99">
              <w:rPr>
                <w:rStyle w:val="Hyperlink"/>
                <w:noProof/>
              </w:rPr>
              <w:t>Committee</w:t>
            </w:r>
            <w:r>
              <w:rPr>
                <w:noProof/>
                <w:webHidden/>
              </w:rPr>
              <w:tab/>
            </w:r>
            <w:r>
              <w:rPr>
                <w:noProof/>
                <w:webHidden/>
              </w:rPr>
              <w:fldChar w:fldCharType="begin"/>
            </w:r>
            <w:r>
              <w:rPr>
                <w:noProof/>
                <w:webHidden/>
              </w:rPr>
              <w:instrText xml:space="preserve"> PAGEREF _Toc225170479 \h </w:instrText>
            </w:r>
            <w:r>
              <w:rPr>
                <w:noProof/>
                <w:webHidden/>
              </w:rPr>
            </w:r>
            <w:r>
              <w:rPr>
                <w:noProof/>
                <w:webHidden/>
              </w:rPr>
              <w:fldChar w:fldCharType="separate"/>
            </w:r>
            <w:r>
              <w:rPr>
                <w:noProof/>
                <w:webHidden/>
              </w:rPr>
              <w:t>5</w:t>
            </w:r>
            <w:r>
              <w:rPr>
                <w:noProof/>
                <w:webHidden/>
              </w:rPr>
              <w:fldChar w:fldCharType="end"/>
            </w:r>
          </w:hyperlink>
        </w:p>
        <w:p w14:paraId="289CC99C" w14:textId="56DA6A09" w:rsidR="006D3033" w:rsidRDefault="006D303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0480" w:history="1">
            <w:r w:rsidRPr="00B65A99">
              <w:rPr>
                <w:rStyle w:val="Hyperlink"/>
                <w:noProof/>
              </w:rPr>
              <w:t>Disclaimer</w:t>
            </w:r>
            <w:r>
              <w:rPr>
                <w:noProof/>
                <w:webHidden/>
              </w:rPr>
              <w:tab/>
            </w:r>
            <w:r>
              <w:rPr>
                <w:noProof/>
                <w:webHidden/>
              </w:rPr>
              <w:fldChar w:fldCharType="begin"/>
            </w:r>
            <w:r>
              <w:rPr>
                <w:noProof/>
                <w:webHidden/>
              </w:rPr>
              <w:instrText xml:space="preserve"> PAGEREF _Toc225170480 \h </w:instrText>
            </w:r>
            <w:r>
              <w:rPr>
                <w:noProof/>
                <w:webHidden/>
              </w:rPr>
            </w:r>
            <w:r>
              <w:rPr>
                <w:noProof/>
                <w:webHidden/>
              </w:rPr>
              <w:fldChar w:fldCharType="separate"/>
            </w:r>
            <w:r>
              <w:rPr>
                <w:noProof/>
                <w:webHidden/>
              </w:rPr>
              <w:t>6</w:t>
            </w:r>
            <w:r>
              <w:rPr>
                <w:noProof/>
                <w:webHidden/>
              </w:rPr>
              <w:fldChar w:fldCharType="end"/>
            </w:r>
          </w:hyperlink>
        </w:p>
        <w:p w14:paraId="21EF3852" w14:textId="12AA636D" w:rsidR="006D3033" w:rsidRDefault="006D303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0481" w:history="1">
            <w:r w:rsidRPr="00B65A99">
              <w:rPr>
                <w:rStyle w:val="Hyperlink"/>
                <w:noProof/>
              </w:rPr>
              <w:t>References</w:t>
            </w:r>
            <w:r>
              <w:rPr>
                <w:noProof/>
                <w:webHidden/>
              </w:rPr>
              <w:tab/>
            </w:r>
            <w:r>
              <w:rPr>
                <w:noProof/>
                <w:webHidden/>
              </w:rPr>
              <w:fldChar w:fldCharType="begin"/>
            </w:r>
            <w:r>
              <w:rPr>
                <w:noProof/>
                <w:webHidden/>
              </w:rPr>
              <w:instrText xml:space="preserve"> PAGEREF _Toc225170481 \h </w:instrText>
            </w:r>
            <w:r>
              <w:rPr>
                <w:noProof/>
                <w:webHidden/>
              </w:rPr>
            </w:r>
            <w:r>
              <w:rPr>
                <w:noProof/>
                <w:webHidden/>
              </w:rPr>
              <w:fldChar w:fldCharType="separate"/>
            </w:r>
            <w:r>
              <w:rPr>
                <w:noProof/>
                <w:webHidden/>
              </w:rPr>
              <w:t>7</w:t>
            </w:r>
            <w:r>
              <w:rPr>
                <w:noProof/>
                <w:webHidden/>
              </w:rPr>
              <w:fldChar w:fldCharType="end"/>
            </w:r>
          </w:hyperlink>
        </w:p>
        <w:p w14:paraId="1A51577D" w14:textId="715062AD"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70464"/>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70465"/>
      <w:r>
        <w:t>General Information</w:t>
      </w:r>
      <w:bookmarkEnd w:id="2"/>
      <w:bookmarkEnd w:id="3"/>
    </w:p>
    <w:p w14:paraId="08B7F753" w14:textId="3C08AC26" w:rsidR="00542876" w:rsidRDefault="00542876" w:rsidP="0026763F">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It is the policy of the Health Plan to maintain a prior authorization process that promotes appropriate utilization of specific drugs with potential for misuse or limited indications.</w:t>
      </w:r>
      <w:r w:rsidR="0026763F">
        <w:rPr>
          <w:rStyle w:val="normaltextrun"/>
          <w:rFonts w:ascii="Arial" w:hAnsi="Arial" w:cs="Arial"/>
          <w:i/>
          <w:iCs/>
          <w:sz w:val="22"/>
          <w:szCs w:val="22"/>
        </w:rPr>
        <w:t xml:space="preserve"> </w:t>
      </w:r>
      <w:r>
        <w:rPr>
          <w:rStyle w:val="normaltextrun"/>
          <w:rFonts w:ascii="Arial" w:hAnsi="Arial" w:cs="Arial"/>
          <w:i/>
          <w:iCs/>
          <w:sz w:val="22"/>
          <w:szCs w:val="22"/>
        </w:rPr>
        <w:t>This process involves a review using Food and Drug Administration (FDA) criteria to make a determination of Medical Necessity and approval by the Medical Policy Committee.</w:t>
      </w:r>
      <w:r>
        <w:rPr>
          <w:rStyle w:val="eop"/>
          <w:rFonts w:ascii="Arial" w:hAnsi="Arial" w:cs="Arial"/>
          <w:sz w:val="22"/>
          <w:szCs w:val="22"/>
        </w:rPr>
        <w:t> </w:t>
      </w:r>
    </w:p>
    <w:p w14:paraId="245274FC" w14:textId="77777777" w:rsidR="00542876" w:rsidRDefault="00542876" w:rsidP="0026763F">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If the established criteria are not met, the request is referred to a Medical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70466"/>
      <w:r>
        <w:t>Purpose</w:t>
      </w:r>
      <w:bookmarkEnd w:id="4"/>
      <w:bookmarkEnd w:id="5"/>
    </w:p>
    <w:p w14:paraId="01CC9B8E" w14:textId="6230F3AB"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w:t>
      </w:r>
      <w:r w:rsidR="00774AA8">
        <w:rPr>
          <w:color w:val="000000" w:themeColor="text1"/>
        </w:rPr>
        <w:t xml:space="preserve"> Spinraza (nusinersen)</w:t>
      </w:r>
      <w:r w:rsidR="00800BF0">
        <w:rPr>
          <w:color w:val="000000" w:themeColor="text1"/>
        </w:rPr>
        <w:t>.</w:t>
      </w:r>
    </w:p>
    <w:p w14:paraId="50F6E761" w14:textId="77777777" w:rsidR="00E768E6" w:rsidRDefault="00B21AF9">
      <w:pPr>
        <w:pStyle w:val="Heading2"/>
      </w:pPr>
      <w:bookmarkStart w:id="7" w:name="_Toc225170467"/>
      <w:r>
        <w:t>Scope</w:t>
      </w:r>
      <w:bookmarkEnd w:id="6"/>
      <w:bookmarkEnd w:id="7"/>
    </w:p>
    <w:p w14:paraId="0C5475CC" w14:textId="48CE0BD7"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70468"/>
      <w:bookmarkEnd w:id="8"/>
      <w:r>
        <w:t>I</w:t>
      </w:r>
      <w:bookmarkEnd w:id="9"/>
      <w:r w:rsidR="008541B7">
        <w:t>NITIAL REVIEW CRITERIA</w:t>
      </w:r>
      <w:bookmarkEnd w:id="10"/>
    </w:p>
    <w:p w14:paraId="5DFD4335" w14:textId="222F1407" w:rsidR="002B581F" w:rsidRPr="002B581F" w:rsidRDefault="002B581F" w:rsidP="002B581F">
      <w:pPr>
        <w:rPr>
          <w:color w:val="FF0000"/>
        </w:rPr>
      </w:pPr>
      <w:r>
        <w:rPr>
          <w:color w:val="000000"/>
        </w:rPr>
        <w:t>The request must meet all</w:t>
      </w:r>
      <w:r w:rsidR="00774AA8">
        <w:rPr>
          <w:color w:val="000000"/>
        </w:rPr>
        <w:t xml:space="preserve"> </w:t>
      </w:r>
      <w:r>
        <w:rPr>
          <w:color w:val="000000"/>
        </w:rPr>
        <w:t xml:space="preserve">of the criteria listed below. </w:t>
      </w:r>
    </w:p>
    <w:p w14:paraId="6A459DAB" w14:textId="28320A9C" w:rsidR="00774AA8" w:rsidRPr="00774AA8" w:rsidRDefault="00774AA8" w:rsidP="00774AA8">
      <w:pPr>
        <w:pStyle w:val="ListParagraph"/>
        <w:numPr>
          <w:ilvl w:val="0"/>
          <w:numId w:val="30"/>
        </w:numPr>
        <w:rPr>
          <w:color w:val="000000"/>
        </w:rPr>
      </w:pPr>
      <w:bookmarkStart w:id="11" w:name="59e66837-f347-4cba-ad06-9c8898541074"/>
      <w:r w:rsidRPr="00774AA8">
        <w:rPr>
          <w:color w:val="000000"/>
        </w:rPr>
        <w:t>Must be prescribed by a neurologist who specializes in the treatment of spinal muscular atrophy and is experienced in performing lumbar puncture</w:t>
      </w:r>
    </w:p>
    <w:p w14:paraId="218C0ACD" w14:textId="77777777" w:rsidR="00774AA8" w:rsidRDefault="00774AA8" w:rsidP="00774AA8">
      <w:pPr>
        <w:pStyle w:val="ListParagraph"/>
        <w:numPr>
          <w:ilvl w:val="0"/>
          <w:numId w:val="30"/>
        </w:numPr>
        <w:rPr>
          <w:color w:val="000000"/>
        </w:rPr>
      </w:pPr>
      <w:r w:rsidRPr="00774AA8">
        <w:rPr>
          <w:color w:val="000000"/>
        </w:rPr>
        <w:t>Must have a diagnosis of 5q spinal muscular atrophy type I, II, or III with chart documentation of confirmatory genetic testing showing ONE of the following in the SMN1 gene:</w:t>
      </w:r>
    </w:p>
    <w:p w14:paraId="2CA384A1" w14:textId="252BEF67" w:rsidR="00774AA8" w:rsidRPr="00800BF0" w:rsidRDefault="00774AA8" w:rsidP="00800BF0">
      <w:pPr>
        <w:pStyle w:val="ListParagraph"/>
        <w:numPr>
          <w:ilvl w:val="1"/>
          <w:numId w:val="30"/>
        </w:numPr>
        <w:rPr>
          <w:color w:val="000000"/>
        </w:rPr>
      </w:pPr>
      <w:r w:rsidRPr="00800BF0">
        <w:rPr>
          <w:color w:val="000000"/>
        </w:rPr>
        <w:t>Homozygous gene deletion (e.g., homozygous deletion of exon 7 at locus 5q13)</w:t>
      </w:r>
    </w:p>
    <w:p w14:paraId="1823CE30" w14:textId="77777777" w:rsidR="00774AA8" w:rsidRPr="00774AA8" w:rsidRDefault="00774AA8" w:rsidP="00800BF0">
      <w:pPr>
        <w:pStyle w:val="ListParagraph"/>
        <w:numPr>
          <w:ilvl w:val="1"/>
          <w:numId w:val="30"/>
        </w:numPr>
        <w:rPr>
          <w:color w:val="000000"/>
        </w:rPr>
      </w:pPr>
      <w:r w:rsidRPr="00774AA8">
        <w:rPr>
          <w:color w:val="000000"/>
        </w:rPr>
        <w:t>Homozygous gene mutation</w:t>
      </w:r>
    </w:p>
    <w:p w14:paraId="30A9B5AB" w14:textId="77777777" w:rsidR="00774AA8" w:rsidRPr="00774AA8" w:rsidRDefault="00774AA8" w:rsidP="00800BF0">
      <w:pPr>
        <w:pStyle w:val="ListParagraph"/>
        <w:numPr>
          <w:ilvl w:val="1"/>
          <w:numId w:val="30"/>
        </w:numPr>
        <w:rPr>
          <w:color w:val="000000"/>
        </w:rPr>
      </w:pPr>
      <w:r w:rsidRPr="00774AA8">
        <w:rPr>
          <w:color w:val="000000"/>
        </w:rPr>
        <w:t>Compound heterozygote gene mutation [e.g., deletion of SMN1 exon 7 (allele 1) and mutation of SMN1 (allele 2)]</w:t>
      </w:r>
    </w:p>
    <w:p w14:paraId="79AB3DBB" w14:textId="37EFA6B9" w:rsidR="00774AA8" w:rsidRPr="00774AA8" w:rsidRDefault="00774AA8" w:rsidP="00774AA8">
      <w:pPr>
        <w:pStyle w:val="ListParagraph"/>
        <w:numPr>
          <w:ilvl w:val="0"/>
          <w:numId w:val="30"/>
        </w:numPr>
        <w:rPr>
          <w:color w:val="000000"/>
        </w:rPr>
      </w:pPr>
      <w:r w:rsidRPr="00774AA8">
        <w:rPr>
          <w:color w:val="000000"/>
        </w:rPr>
        <w:t xml:space="preserve">Must have chart documentation of genetic testing confirming at least </w:t>
      </w:r>
      <w:r w:rsidR="00D34622">
        <w:rPr>
          <w:color w:val="000000"/>
        </w:rPr>
        <w:t>two</w:t>
      </w:r>
      <w:r w:rsidR="00D34622" w:rsidRPr="00774AA8">
        <w:rPr>
          <w:color w:val="000000"/>
        </w:rPr>
        <w:t xml:space="preserve"> </w:t>
      </w:r>
      <w:r w:rsidRPr="00774AA8">
        <w:rPr>
          <w:color w:val="000000"/>
        </w:rPr>
        <w:t>copies of SMN2</w:t>
      </w:r>
    </w:p>
    <w:p w14:paraId="0384C40E" w14:textId="0010B4BD" w:rsidR="00774AA8" w:rsidRPr="00800BF0" w:rsidRDefault="00774AA8" w:rsidP="00800BF0">
      <w:pPr>
        <w:pStyle w:val="ListParagraph"/>
        <w:numPr>
          <w:ilvl w:val="0"/>
          <w:numId w:val="30"/>
        </w:numPr>
        <w:rPr>
          <w:color w:val="000000"/>
        </w:rPr>
      </w:pPr>
      <w:r w:rsidRPr="00774AA8">
        <w:rPr>
          <w:color w:val="000000"/>
        </w:rPr>
        <w:t>Must not have spinal hardware precluding an intrathecal injection (growing rods</w:t>
      </w:r>
      <w:r w:rsidR="00800BF0">
        <w:rPr>
          <w:color w:val="000000"/>
        </w:rPr>
        <w:t xml:space="preserve"> </w:t>
      </w:r>
      <w:r w:rsidRPr="00800BF0">
        <w:rPr>
          <w:color w:val="000000"/>
        </w:rPr>
        <w:t>are acceptable)</w:t>
      </w:r>
    </w:p>
    <w:p w14:paraId="176209C8" w14:textId="154AEC2C" w:rsidR="00774AA8" w:rsidRPr="00774AA8" w:rsidRDefault="00774AA8" w:rsidP="00774AA8">
      <w:pPr>
        <w:pStyle w:val="ListParagraph"/>
        <w:numPr>
          <w:ilvl w:val="0"/>
          <w:numId w:val="30"/>
        </w:numPr>
        <w:rPr>
          <w:color w:val="000000"/>
        </w:rPr>
      </w:pPr>
      <w:r w:rsidRPr="00774AA8">
        <w:rPr>
          <w:color w:val="000000"/>
        </w:rPr>
        <w:t xml:space="preserve">Must provide chart documentation of baseline motor function and/or strength (e.g., Brooke </w:t>
      </w:r>
      <w:r w:rsidR="00925C8B">
        <w:rPr>
          <w:color w:val="000000"/>
        </w:rPr>
        <w:t>U</w:t>
      </w:r>
      <w:r w:rsidRPr="00774AA8">
        <w:rPr>
          <w:color w:val="000000"/>
        </w:rPr>
        <w:t xml:space="preserve">pper </w:t>
      </w:r>
      <w:r w:rsidR="00925C8B">
        <w:rPr>
          <w:color w:val="000000"/>
        </w:rPr>
        <w:t>E</w:t>
      </w:r>
      <w:r w:rsidRPr="00774AA8">
        <w:rPr>
          <w:color w:val="000000"/>
        </w:rPr>
        <w:t xml:space="preserve">xtremity </w:t>
      </w:r>
      <w:r w:rsidR="0041717D">
        <w:rPr>
          <w:color w:val="000000"/>
        </w:rPr>
        <w:t>F</w:t>
      </w:r>
      <w:r w:rsidRPr="00774AA8">
        <w:rPr>
          <w:color w:val="000000"/>
        </w:rPr>
        <w:t>unctional score, HINE-2 score, CHOP-INTEND score, myometry measurement)</w:t>
      </w:r>
    </w:p>
    <w:p w14:paraId="271DF614" w14:textId="36CDCEA9" w:rsidR="00774AA8" w:rsidRPr="00774AA8" w:rsidRDefault="00774AA8" w:rsidP="00774AA8">
      <w:pPr>
        <w:pStyle w:val="ListParagraph"/>
        <w:numPr>
          <w:ilvl w:val="0"/>
          <w:numId w:val="30"/>
        </w:numPr>
        <w:rPr>
          <w:color w:val="000000"/>
        </w:rPr>
      </w:pPr>
      <w:r w:rsidRPr="00774AA8">
        <w:rPr>
          <w:color w:val="000000"/>
        </w:rPr>
        <w:t xml:space="preserve">Must NOT be dependent on either invasive ventilation or tracheostomy OR non-invasive </w:t>
      </w:r>
      <w:r w:rsidR="000B5A65">
        <w:rPr>
          <w:color w:val="000000"/>
        </w:rPr>
        <w:lastRenderedPageBreak/>
        <w:t>v</w:t>
      </w:r>
      <w:r w:rsidRPr="00774AA8">
        <w:rPr>
          <w:color w:val="000000"/>
        </w:rPr>
        <w:t>entilation for at least 12 hours per day</w:t>
      </w:r>
    </w:p>
    <w:p w14:paraId="43762E7D" w14:textId="77777777" w:rsidR="00774AA8" w:rsidRPr="00774AA8" w:rsidRDefault="00774AA8" w:rsidP="00774AA8">
      <w:pPr>
        <w:pStyle w:val="ListParagraph"/>
        <w:numPr>
          <w:ilvl w:val="0"/>
          <w:numId w:val="30"/>
        </w:numPr>
        <w:rPr>
          <w:color w:val="000000"/>
        </w:rPr>
      </w:pPr>
      <w:r w:rsidRPr="00774AA8">
        <w:rPr>
          <w:color w:val="000000"/>
        </w:rPr>
        <w:t xml:space="preserve">Must meet ONE of the following: </w:t>
      </w:r>
    </w:p>
    <w:p w14:paraId="3E3A99C0" w14:textId="77777777" w:rsidR="00800BF0" w:rsidRDefault="00774AA8" w:rsidP="00800BF0">
      <w:pPr>
        <w:pStyle w:val="ListParagraph"/>
        <w:numPr>
          <w:ilvl w:val="1"/>
          <w:numId w:val="30"/>
        </w:numPr>
        <w:rPr>
          <w:color w:val="000000"/>
        </w:rPr>
      </w:pPr>
      <w:r w:rsidRPr="00774AA8">
        <w:rPr>
          <w:color w:val="000000"/>
        </w:rPr>
        <w:t xml:space="preserve">Member has not previously received gene replacement therapy for treatment of SMA </w:t>
      </w:r>
    </w:p>
    <w:p w14:paraId="27E2475B" w14:textId="1BF26C8A" w:rsidR="00774AA8" w:rsidRPr="00774AA8" w:rsidRDefault="00774AA8" w:rsidP="00800BF0">
      <w:pPr>
        <w:pStyle w:val="ListParagraph"/>
        <w:ind w:left="1080"/>
        <w:rPr>
          <w:color w:val="000000"/>
        </w:rPr>
      </w:pPr>
      <w:r w:rsidRPr="00774AA8">
        <w:rPr>
          <w:color w:val="000000"/>
        </w:rPr>
        <w:t>OR</w:t>
      </w:r>
    </w:p>
    <w:p w14:paraId="2ED82EA6" w14:textId="337FF3CD" w:rsidR="00774AA8" w:rsidRPr="00774AA8" w:rsidRDefault="00774AA8" w:rsidP="00800BF0">
      <w:pPr>
        <w:pStyle w:val="ListParagraph"/>
        <w:numPr>
          <w:ilvl w:val="1"/>
          <w:numId w:val="30"/>
        </w:numPr>
        <w:rPr>
          <w:color w:val="000000"/>
        </w:rPr>
      </w:pPr>
      <w:r w:rsidRPr="00774AA8">
        <w:rPr>
          <w:color w:val="000000"/>
        </w:rPr>
        <w:t>Member has previously received gene replacement therapy AND has experienced a decline in clinical status that represents a potential failure or abatement of gene therapy efficacy</w:t>
      </w:r>
    </w:p>
    <w:p w14:paraId="36825FCF" w14:textId="5CD63054" w:rsidR="00774AA8" w:rsidRPr="00774AA8" w:rsidRDefault="00774AA8" w:rsidP="00774AA8">
      <w:pPr>
        <w:pStyle w:val="ListParagraph"/>
        <w:numPr>
          <w:ilvl w:val="0"/>
          <w:numId w:val="30"/>
        </w:numPr>
        <w:rPr>
          <w:color w:val="000000"/>
        </w:rPr>
      </w:pPr>
      <w:r w:rsidRPr="00774AA8">
        <w:rPr>
          <w:color w:val="000000"/>
        </w:rPr>
        <w:t>Must have chart documentation of baseline and subsequent plan for pre-dose laboratory monitoring for thrombocytopenia, coagulation abnormalities and elevated urine protein via the following tests:</w:t>
      </w:r>
    </w:p>
    <w:p w14:paraId="42A2694E" w14:textId="77777777" w:rsidR="00774AA8" w:rsidRPr="00774AA8" w:rsidRDefault="00774AA8" w:rsidP="00800BF0">
      <w:pPr>
        <w:pStyle w:val="ListParagraph"/>
        <w:numPr>
          <w:ilvl w:val="1"/>
          <w:numId w:val="30"/>
        </w:numPr>
        <w:rPr>
          <w:color w:val="000000"/>
        </w:rPr>
      </w:pPr>
      <w:r w:rsidRPr="00774AA8">
        <w:rPr>
          <w:color w:val="000000"/>
        </w:rPr>
        <w:t>Platelet count</w:t>
      </w:r>
    </w:p>
    <w:p w14:paraId="6BAEBEC2" w14:textId="77777777" w:rsidR="00774AA8" w:rsidRPr="00774AA8" w:rsidRDefault="00774AA8" w:rsidP="00800BF0">
      <w:pPr>
        <w:pStyle w:val="ListParagraph"/>
        <w:numPr>
          <w:ilvl w:val="1"/>
          <w:numId w:val="30"/>
        </w:numPr>
        <w:rPr>
          <w:color w:val="000000"/>
        </w:rPr>
      </w:pPr>
      <w:r w:rsidRPr="00774AA8">
        <w:rPr>
          <w:color w:val="000000"/>
        </w:rPr>
        <w:t>Prothrombin time and activated partial thromboplastin time</w:t>
      </w:r>
    </w:p>
    <w:p w14:paraId="29D9081F" w14:textId="77777777" w:rsidR="00774AA8" w:rsidRDefault="00774AA8" w:rsidP="00800BF0">
      <w:pPr>
        <w:pStyle w:val="ListParagraph"/>
        <w:numPr>
          <w:ilvl w:val="1"/>
          <w:numId w:val="30"/>
        </w:numPr>
        <w:rPr>
          <w:color w:val="000000"/>
        </w:rPr>
      </w:pPr>
      <w:r w:rsidRPr="00774AA8">
        <w:rPr>
          <w:color w:val="000000"/>
        </w:rPr>
        <w:t>Quantitative spot urine protein testing</w:t>
      </w:r>
    </w:p>
    <w:p w14:paraId="08BCF913" w14:textId="369E9E3A" w:rsidR="000B5A65" w:rsidRPr="00774AA8" w:rsidRDefault="000B5A65" w:rsidP="000B5A65">
      <w:pPr>
        <w:pStyle w:val="ListParagraph"/>
        <w:numPr>
          <w:ilvl w:val="0"/>
          <w:numId w:val="30"/>
        </w:numPr>
        <w:rPr>
          <w:color w:val="000000"/>
        </w:rPr>
      </w:pPr>
      <w:r>
        <w:rPr>
          <w:color w:val="000000"/>
        </w:rPr>
        <w:t>Must</w:t>
      </w:r>
      <w:r w:rsidRPr="000B5A65">
        <w:rPr>
          <w:color w:val="000000"/>
        </w:rPr>
        <w:t xml:space="preserve"> be prescribed a dose within the manufacturer’s dosing guidelines (based on diagnosis, weight, etc.) listed in the FDA</w:t>
      </w:r>
      <w:r w:rsidR="008878C3">
        <w:rPr>
          <w:color w:val="000000"/>
        </w:rPr>
        <w:t>-</w:t>
      </w:r>
      <w:r w:rsidRPr="000B5A65">
        <w:rPr>
          <w:color w:val="000000"/>
        </w:rPr>
        <w:t xml:space="preserve">approved labeling  </w:t>
      </w:r>
    </w:p>
    <w:p w14:paraId="50F6E848" w14:textId="47AA7767" w:rsidR="00E768E6" w:rsidRPr="00121D1A" w:rsidRDefault="002B581F" w:rsidP="00A03DEC">
      <w:pPr>
        <w:pStyle w:val="Heading1"/>
      </w:pPr>
      <w:bookmarkStart w:id="12" w:name="_Toc225170469"/>
      <w:bookmarkEnd w:id="11"/>
      <w:r>
        <w:t>R</w:t>
      </w:r>
      <w:r w:rsidR="00903D20">
        <w:t>e</w:t>
      </w:r>
      <w:r>
        <w:t>authorization Criteria</w:t>
      </w:r>
      <w:bookmarkEnd w:id="12"/>
    </w:p>
    <w:p w14:paraId="1688AE3D" w14:textId="0210A870" w:rsidR="0088160A" w:rsidRDefault="0088160A" w:rsidP="0088160A">
      <w:pPr>
        <w:rPr>
          <w:color w:val="FF0000"/>
        </w:rPr>
      </w:pPr>
      <w:bookmarkStart w:id="13" w:name="bf411eb6-39fd-4766-b04d-3f0de901e5e4"/>
      <w:r w:rsidRPr="009C317B">
        <w:rPr>
          <w:color w:val="000000"/>
        </w:rPr>
        <w:t>All prior authorization renewals are reviewed on an annual basis to determine the Medical Necessity for continuation of therapy</w:t>
      </w:r>
      <w:r>
        <w:rPr>
          <w:color w:val="000000"/>
        </w:rPr>
        <w:t xml:space="preserve">. The request must meet all of the criteria listed below. </w:t>
      </w:r>
    </w:p>
    <w:p w14:paraId="6C4B4593" w14:textId="61EBE311" w:rsidR="00A62A0F" w:rsidRPr="00A62A0F" w:rsidRDefault="000B5A65" w:rsidP="00A62A0F">
      <w:pPr>
        <w:pStyle w:val="ListParagraph"/>
        <w:numPr>
          <w:ilvl w:val="0"/>
          <w:numId w:val="30"/>
        </w:numPr>
        <w:rPr>
          <w:color w:val="000000"/>
        </w:rPr>
      </w:pPr>
      <w:r>
        <w:rPr>
          <w:color w:val="000000"/>
        </w:rPr>
        <w:t>Must submit d</w:t>
      </w:r>
      <w:r w:rsidR="00A62A0F" w:rsidRPr="00A62A0F">
        <w:rPr>
          <w:color w:val="000000"/>
        </w:rPr>
        <w:t>ocumentation from the provider that the member remains a candidate for treatment with Spinraza (nusinersen) based upon the prescriber's assessment while on therapy</w:t>
      </w:r>
    </w:p>
    <w:p w14:paraId="1EB900C8" w14:textId="05098D57" w:rsidR="00A62A0F" w:rsidRPr="00A62A0F" w:rsidRDefault="000B5A65" w:rsidP="00A62A0F">
      <w:pPr>
        <w:pStyle w:val="ListParagraph"/>
        <w:numPr>
          <w:ilvl w:val="0"/>
          <w:numId w:val="30"/>
        </w:numPr>
        <w:rPr>
          <w:color w:val="000000"/>
        </w:rPr>
      </w:pPr>
      <w:r>
        <w:rPr>
          <w:color w:val="000000"/>
        </w:rPr>
        <w:t>Must submit d</w:t>
      </w:r>
      <w:r w:rsidR="00A62A0F" w:rsidRPr="00A62A0F">
        <w:rPr>
          <w:color w:val="000000"/>
        </w:rPr>
        <w:t>ocumentation that the member's motor function and/or strength has stabilized as compared to baseline</w:t>
      </w:r>
    </w:p>
    <w:p w14:paraId="0C06AF43" w14:textId="77777777" w:rsidR="000B5A65" w:rsidRDefault="000B5A65" w:rsidP="00A62A0F">
      <w:pPr>
        <w:pStyle w:val="ListParagraph"/>
        <w:numPr>
          <w:ilvl w:val="0"/>
          <w:numId w:val="30"/>
        </w:numPr>
        <w:rPr>
          <w:color w:val="000000"/>
        </w:rPr>
      </w:pPr>
      <w:r>
        <w:rPr>
          <w:color w:val="000000"/>
        </w:rPr>
        <w:t xml:space="preserve">Must submit chart note documentation or an attestation from the prescriber for all the following: </w:t>
      </w:r>
    </w:p>
    <w:p w14:paraId="3A5FAD2F" w14:textId="5233EBA3" w:rsidR="00A62A0F" w:rsidRPr="00A62A0F" w:rsidRDefault="000B5A65" w:rsidP="000B5A65">
      <w:pPr>
        <w:pStyle w:val="ListParagraph"/>
        <w:numPr>
          <w:ilvl w:val="1"/>
          <w:numId w:val="30"/>
        </w:numPr>
        <w:rPr>
          <w:color w:val="000000"/>
        </w:rPr>
      </w:pPr>
      <w:r>
        <w:rPr>
          <w:color w:val="000000"/>
        </w:rPr>
        <w:t>L</w:t>
      </w:r>
      <w:r w:rsidR="00A62A0F" w:rsidRPr="00A62A0F">
        <w:rPr>
          <w:color w:val="000000"/>
        </w:rPr>
        <w:t>aboratory tests are performed prior to each dose to monitor for thrombocytopenia, coagulation abnormalities, and elevated urine protein</w:t>
      </w:r>
    </w:p>
    <w:p w14:paraId="0383A438" w14:textId="6358D8DC" w:rsidR="00A62A0F" w:rsidRPr="00A62A0F" w:rsidRDefault="000B5A65" w:rsidP="000B5A65">
      <w:pPr>
        <w:pStyle w:val="ListParagraph"/>
        <w:numPr>
          <w:ilvl w:val="1"/>
          <w:numId w:val="30"/>
        </w:numPr>
        <w:rPr>
          <w:color w:val="000000"/>
        </w:rPr>
      </w:pPr>
      <w:r>
        <w:rPr>
          <w:color w:val="000000"/>
        </w:rPr>
        <w:t>T</w:t>
      </w:r>
      <w:r w:rsidR="00A62A0F" w:rsidRPr="00A62A0F">
        <w:rPr>
          <w:color w:val="000000"/>
        </w:rPr>
        <w:t xml:space="preserve">he member does not have respiratory dependency on either: </w:t>
      </w:r>
    </w:p>
    <w:p w14:paraId="6C3F9809" w14:textId="77777777" w:rsidR="00A62A0F" w:rsidRPr="00A62A0F" w:rsidRDefault="00A62A0F" w:rsidP="000B5A65">
      <w:pPr>
        <w:pStyle w:val="ListParagraph"/>
        <w:numPr>
          <w:ilvl w:val="2"/>
          <w:numId w:val="30"/>
        </w:numPr>
        <w:rPr>
          <w:color w:val="000000"/>
        </w:rPr>
      </w:pPr>
      <w:r w:rsidRPr="00A62A0F">
        <w:rPr>
          <w:color w:val="000000"/>
        </w:rPr>
        <w:t>Invasive ventilation or tracheostomy</w:t>
      </w:r>
    </w:p>
    <w:p w14:paraId="5EB88B1A" w14:textId="39EF062C" w:rsidR="00A62A0F" w:rsidRPr="00A62A0F" w:rsidRDefault="00A62A0F" w:rsidP="000B5A65">
      <w:pPr>
        <w:pStyle w:val="ListParagraph"/>
        <w:numPr>
          <w:ilvl w:val="2"/>
          <w:numId w:val="30"/>
        </w:numPr>
        <w:rPr>
          <w:color w:val="000000"/>
        </w:rPr>
      </w:pPr>
      <w:r w:rsidRPr="00A62A0F">
        <w:rPr>
          <w:color w:val="000000"/>
        </w:rPr>
        <w:t xml:space="preserve">Non-invasive ventilation for a period of </w:t>
      </w:r>
      <w:r w:rsidR="008878C3">
        <w:rPr>
          <w:color w:val="000000"/>
        </w:rPr>
        <w:t>six</w:t>
      </w:r>
      <w:r w:rsidRPr="00A62A0F">
        <w:rPr>
          <w:color w:val="000000"/>
        </w:rPr>
        <w:t xml:space="preserve"> or more hours per day</w:t>
      </w:r>
    </w:p>
    <w:p w14:paraId="68BD4BC5" w14:textId="3E666144" w:rsidR="00A62A0F" w:rsidRDefault="000B5A65" w:rsidP="000B5A65">
      <w:pPr>
        <w:pStyle w:val="ListParagraph"/>
        <w:numPr>
          <w:ilvl w:val="1"/>
          <w:numId w:val="30"/>
        </w:numPr>
        <w:rPr>
          <w:color w:val="000000"/>
        </w:rPr>
      </w:pPr>
      <w:r>
        <w:rPr>
          <w:color w:val="000000"/>
        </w:rPr>
        <w:t>The m</w:t>
      </w:r>
      <w:r w:rsidR="00A62A0F" w:rsidRPr="00A62A0F">
        <w:rPr>
          <w:color w:val="000000"/>
        </w:rPr>
        <w:t>ember must not be receiving concomitant SMA treatment (i.e., Zolgensma, Evrysdi)</w:t>
      </w:r>
    </w:p>
    <w:p w14:paraId="098068B3" w14:textId="72B28C44" w:rsidR="000B5A65" w:rsidRPr="000B5A65" w:rsidRDefault="000B5A65" w:rsidP="000B5A65">
      <w:pPr>
        <w:pStyle w:val="ListParagraph"/>
        <w:numPr>
          <w:ilvl w:val="0"/>
          <w:numId w:val="30"/>
        </w:numPr>
        <w:rPr>
          <w:color w:val="000000"/>
        </w:rPr>
      </w:pPr>
      <w:r>
        <w:rPr>
          <w:color w:val="000000"/>
        </w:rPr>
        <w:t>Must</w:t>
      </w:r>
      <w:r w:rsidRPr="000B5A65">
        <w:rPr>
          <w:color w:val="000000"/>
        </w:rPr>
        <w:t xml:space="preserve"> be prescribed a dose within the manufacturer’s dosing guidelines (based on diagnosis, weight, etc.) listed in the FDA</w:t>
      </w:r>
      <w:r w:rsidR="0041717D">
        <w:rPr>
          <w:color w:val="000000"/>
        </w:rPr>
        <w:t>-</w:t>
      </w:r>
      <w:r w:rsidRPr="000B5A65">
        <w:rPr>
          <w:color w:val="000000"/>
        </w:rPr>
        <w:t xml:space="preserve">approved labeling  </w:t>
      </w:r>
    </w:p>
    <w:p w14:paraId="27CDA761" w14:textId="77777777" w:rsidR="00B04EC0" w:rsidRPr="00121D1A" w:rsidRDefault="00B04EC0" w:rsidP="00B04EC0">
      <w:pPr>
        <w:pStyle w:val="Heading1"/>
      </w:pPr>
      <w:bookmarkStart w:id="14" w:name="_Toc189906977"/>
      <w:bookmarkStart w:id="15" w:name="_Toc225170470"/>
      <w:r>
        <w:lastRenderedPageBreak/>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7FB22C09" w14:textId="0A62002E" w:rsidR="00B04EC0" w:rsidRDefault="00A62A0F" w:rsidP="00B04EC0">
            <w:pPr>
              <w:pStyle w:val="In-TextTable"/>
            </w:pPr>
            <w:r>
              <w:t xml:space="preserve">Up to </w:t>
            </w:r>
            <w:r w:rsidR="0041717D">
              <w:t>one</w:t>
            </w:r>
            <w:r>
              <w:t xml:space="preserve"> year</w:t>
            </w:r>
          </w:p>
          <w:p w14:paraId="324FA8C0" w14:textId="4E6E2C19" w:rsidR="00886909" w:rsidRPr="00962841" w:rsidRDefault="00886909" w:rsidP="00A62A0F">
            <w:pPr>
              <w:pStyle w:val="In-TextTable"/>
            </w:pP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1607C074" w:rsidR="00B04EC0" w:rsidRPr="00962841" w:rsidRDefault="00A62A0F" w:rsidP="000B5A65">
            <w:pPr>
              <w:pStyle w:val="In-TextTable"/>
            </w:pPr>
            <w:r>
              <w:t>Same as initial</w:t>
            </w:r>
          </w:p>
        </w:tc>
      </w:tr>
    </w:tbl>
    <w:p w14:paraId="50F6E878" w14:textId="2A55145C" w:rsidR="00E768E6" w:rsidRDefault="00B21AF9" w:rsidP="00A03DEC">
      <w:pPr>
        <w:pStyle w:val="Heading1"/>
      </w:pPr>
      <w:bookmarkStart w:id="16" w:name="da639a29-a55e-49c4-8655-0f6eeb953c05"/>
      <w:bookmarkStart w:id="17" w:name="_Toc225170471"/>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5170472"/>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0C68DA6E" w:rsidR="005D7959" w:rsidRPr="00141835" w:rsidRDefault="00A62A0F" w:rsidP="005D7959">
            <w:pPr>
              <w:pStyle w:val="In-TextTable"/>
            </w:pPr>
            <w:r>
              <w:t>J2326</w:t>
            </w:r>
          </w:p>
        </w:tc>
        <w:tc>
          <w:tcPr>
            <w:tcW w:w="1773" w:type="dxa"/>
            <w:tcBorders>
              <w:top w:val="single" w:sz="6" w:space="0" w:color="auto"/>
              <w:left w:val="single" w:sz="6" w:space="0" w:color="auto"/>
              <w:bottom w:val="single" w:sz="6" w:space="0" w:color="auto"/>
              <w:right w:val="single" w:sz="6" w:space="0" w:color="auto"/>
            </w:tcBorders>
          </w:tcPr>
          <w:p w14:paraId="0FED3A80" w14:textId="7A5A3D67" w:rsidR="005D7959" w:rsidRDefault="00A62A0F" w:rsidP="005D7959">
            <w:pPr>
              <w:pStyle w:val="In-TextTable"/>
            </w:pPr>
            <w:r>
              <w:t>SPINRAZA</w:t>
            </w:r>
          </w:p>
        </w:tc>
        <w:tc>
          <w:tcPr>
            <w:tcW w:w="6394" w:type="dxa"/>
            <w:tcBorders>
              <w:top w:val="single" w:sz="6" w:space="0" w:color="auto"/>
              <w:left w:val="single" w:sz="6" w:space="0" w:color="auto"/>
              <w:bottom w:val="single" w:sz="6" w:space="0" w:color="auto"/>
              <w:right w:val="single" w:sz="6" w:space="0" w:color="auto"/>
            </w:tcBorders>
          </w:tcPr>
          <w:p w14:paraId="1AE9F9D3" w14:textId="340A2469" w:rsidR="005D7959" w:rsidRPr="00141835" w:rsidRDefault="00A62A0F" w:rsidP="005D7959">
            <w:pPr>
              <w:pStyle w:val="In-TextTable"/>
            </w:pPr>
            <w:r>
              <w:t>INJECTION, NUSINERSEN, 0.1 MG</w:t>
            </w:r>
          </w:p>
        </w:tc>
      </w:tr>
    </w:tbl>
    <w:p w14:paraId="50F6E886" w14:textId="360D6987" w:rsidR="00E768E6" w:rsidRDefault="00B21AF9">
      <w:pPr>
        <w:pStyle w:val="Heading2"/>
      </w:pPr>
      <w:bookmarkStart w:id="22" w:name="_Toc225170473"/>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3" w:name="bbdd6af5-83c0-477d-9a0b-290b2e0bb618"/>
      <w:bookmarkStart w:id="24" w:name="_Toc225170474"/>
      <w:r>
        <w:t>Background</w:t>
      </w:r>
      <w:bookmarkEnd w:id="23"/>
      <w:bookmarkEnd w:id="24"/>
    </w:p>
    <w:p w14:paraId="57F02A05" w14:textId="77777777" w:rsidR="000B5A65" w:rsidRPr="00BE5A38" w:rsidRDefault="00046994" w:rsidP="00BE5A38">
      <w:pPr>
        <w:spacing w:after="0"/>
      </w:pPr>
      <w:bookmarkStart w:id="25" w:name="c8f46071-6a85-41b8-910e-ee88343077c4"/>
      <w:r w:rsidRPr="00BE5A38">
        <w:t>Spinraza</w:t>
      </w:r>
      <w:r w:rsidRPr="00BE5A38">
        <w:rPr>
          <w:vertAlign w:val="superscript"/>
        </w:rPr>
        <w:t>®</w:t>
      </w:r>
      <w:r w:rsidRPr="00BE5A38">
        <w:t> (nusinersen) is indicated for the treatment of spinal muscular atrophy (SMA) in pediatric and adult patients. </w:t>
      </w:r>
      <w:bookmarkStart w:id="26" w:name="_Toc189738351"/>
    </w:p>
    <w:p w14:paraId="653DF4E8" w14:textId="248D3327" w:rsidR="004C3BCE" w:rsidRPr="00121D1A" w:rsidRDefault="004C3BCE" w:rsidP="006D3033">
      <w:pPr>
        <w:pStyle w:val="Heading2"/>
      </w:pPr>
      <w:bookmarkStart w:id="27" w:name="_Toc225170475"/>
      <w:r>
        <w:t>Definitions</w:t>
      </w:r>
      <w:bookmarkEnd w:id="26"/>
      <w:bookmarkEnd w:id="27"/>
    </w:p>
    <w:p w14:paraId="463CF64F" w14:textId="6AED18A2" w:rsidR="00A62A0F" w:rsidRPr="00800BF0" w:rsidRDefault="00A62A0F" w:rsidP="006D3033">
      <w:r w:rsidRPr="00800BF0">
        <w:rPr>
          <w:b/>
          <w:bCs/>
        </w:rPr>
        <w:t>Brooke Upper Extremity Functional Scale</w:t>
      </w:r>
      <w:r w:rsidRPr="00800BF0">
        <w:t xml:space="preserve"> – measurement of motor function. It scores</w:t>
      </w:r>
      <w:r w:rsidR="009F77D1">
        <w:t xml:space="preserve"> </w:t>
      </w:r>
      <w:r w:rsidRPr="00800BF0">
        <w:t>upper extremity function from 1 (can elevate arms full range to the head), 2 (can elevate</w:t>
      </w:r>
      <w:r w:rsidR="009F77D1">
        <w:t xml:space="preserve"> </w:t>
      </w:r>
      <w:r w:rsidRPr="00800BF0">
        <w:t>arms but needs to flex elbow or use accessory muscles) 3 and 4 (unable to elevate the</w:t>
      </w:r>
      <w:r w:rsidR="009F77D1">
        <w:t xml:space="preserve"> </w:t>
      </w:r>
      <w:r w:rsidRPr="00800BF0">
        <w:t>shoulders but can raise hands to the mouth with or without weight respectively), 5 (unable to raise hands to the mouth and only some hand movement exists), to 6 (no useful function of hands).</w:t>
      </w:r>
    </w:p>
    <w:p w14:paraId="428434FD" w14:textId="122FD26E" w:rsidR="00A62A0F" w:rsidRPr="00800BF0" w:rsidRDefault="00A62A0F" w:rsidP="00A62A0F">
      <w:r w:rsidRPr="00800BF0">
        <w:rPr>
          <w:b/>
          <w:bCs/>
        </w:rPr>
        <w:t>Children’s Hospital of Philadelphia Infant Test for Neuromuscular Disord</w:t>
      </w:r>
      <w:r w:rsidR="009F77D1">
        <w:rPr>
          <w:b/>
          <w:bCs/>
        </w:rPr>
        <w:t>e</w:t>
      </w:r>
      <w:r w:rsidRPr="00800BF0">
        <w:rPr>
          <w:b/>
          <w:bCs/>
        </w:rPr>
        <w:t>rs</w:t>
      </w:r>
      <w:r w:rsidR="009F77D1">
        <w:rPr>
          <w:b/>
          <w:bCs/>
        </w:rPr>
        <w:t xml:space="preserve"> </w:t>
      </w:r>
      <w:r w:rsidRPr="00800BF0">
        <w:rPr>
          <w:b/>
          <w:bCs/>
        </w:rPr>
        <w:t>(CHOP-INTEND)</w:t>
      </w:r>
      <w:r w:rsidRPr="00800BF0">
        <w:t xml:space="preserve"> – measurement of motor function in infants. It scores motor function</w:t>
      </w:r>
      <w:r w:rsidR="009F77D1">
        <w:t xml:space="preserve"> </w:t>
      </w:r>
      <w:r w:rsidRPr="00800BF0">
        <w:t>(0: worst to 4: best) via 16 different items, which capture neck, trunk, proximal, and</w:t>
      </w:r>
      <w:r w:rsidR="009F77D1">
        <w:t xml:space="preserve"> </w:t>
      </w:r>
      <w:r w:rsidRPr="00800BF0">
        <w:t>distal limbs.</w:t>
      </w:r>
    </w:p>
    <w:p w14:paraId="70E17447" w14:textId="4988E872" w:rsidR="0041717D" w:rsidRDefault="00A62A0F" w:rsidP="00A62A0F">
      <w:r w:rsidRPr="00800BF0">
        <w:rPr>
          <w:b/>
          <w:bCs/>
        </w:rPr>
        <w:lastRenderedPageBreak/>
        <w:t xml:space="preserve">Hammersmith Infant Neurological Exam, Section 2 (HINE-2) </w:t>
      </w:r>
      <w:r w:rsidRPr="00800BF0">
        <w:t>– measurement of</w:t>
      </w:r>
      <w:r w:rsidR="009F77D1">
        <w:t xml:space="preserve"> </w:t>
      </w:r>
      <w:r w:rsidRPr="00800BF0">
        <w:t>functional ability and achievement of motor milestones in infants. It scores seven different areas of motor milestone development with a maximum score between 2-4</w:t>
      </w:r>
      <w:r w:rsidR="009F77D1">
        <w:t xml:space="preserve"> </w:t>
      </w:r>
      <w:r w:rsidRPr="00800BF0">
        <w:t>points for each, depending on the milestone, and a total maximum score of 26.</w:t>
      </w:r>
      <w:r w:rsidR="009F77D1">
        <w:t xml:space="preserve"> </w:t>
      </w:r>
    </w:p>
    <w:p w14:paraId="74A44C9D" w14:textId="3A0EBDC1" w:rsidR="00A62A0F" w:rsidRPr="00800BF0" w:rsidRDefault="00A62A0F" w:rsidP="00A62A0F">
      <w:r w:rsidRPr="0060472B">
        <w:rPr>
          <w:b/>
          <w:bCs/>
        </w:rPr>
        <w:t>Myometry</w:t>
      </w:r>
      <w:r w:rsidRPr="00800BF0">
        <w:t xml:space="preserve"> – measurement of muscle strength with an apparatus</w:t>
      </w:r>
    </w:p>
    <w:p w14:paraId="653CD778" w14:textId="4295B114" w:rsidR="00A62A0F" w:rsidRDefault="00A62A0F" w:rsidP="009F77D1">
      <w:r w:rsidRPr="00800BF0">
        <w:rPr>
          <w:b/>
          <w:bCs/>
        </w:rPr>
        <w:t xml:space="preserve">Spinal Muscular Atrophy (SMA) </w:t>
      </w:r>
      <w:r w:rsidRPr="00800BF0">
        <w:t>– an autosomal recessive neuromuscular disease</w:t>
      </w:r>
      <w:r w:rsidR="009F77D1">
        <w:t xml:space="preserve"> </w:t>
      </w:r>
      <w:r w:rsidRPr="00800BF0">
        <w:t>characterized by degeneration of the motor neurons in the anterior horn of the spinal</w:t>
      </w:r>
      <w:r w:rsidR="009F77D1">
        <w:t xml:space="preserve"> </w:t>
      </w:r>
      <w:r w:rsidRPr="00800BF0">
        <w:t>cord, resulting in atrophy of the voluntary muscles of the limbs and trunk. Despite being</w:t>
      </w:r>
      <w:r w:rsidR="009F77D1">
        <w:t xml:space="preserve"> </w:t>
      </w:r>
      <w:r w:rsidRPr="00800BF0">
        <w:t>a rare disease, SMA is a leading genetic cause of infant mortality and a major cause of childhood morbidity. It is attributed to deletions or mutations in the SMN1 gene (chromosome 5q13), causing insufficient expression of survival motor neuron (SMN)</w:t>
      </w:r>
      <w:r w:rsidR="009F77D1">
        <w:t xml:space="preserve"> </w:t>
      </w:r>
      <w:r w:rsidRPr="00800BF0">
        <w:t>protein. The lack of SMN protein appears to result in dysfunction and eventual death of</w:t>
      </w:r>
      <w:r w:rsidR="009F77D1">
        <w:t xml:space="preserve"> </w:t>
      </w:r>
      <w:r w:rsidRPr="00800BF0">
        <w:t>motor neurons. SMA can present clinically at any time from in utero to adulthood with</w:t>
      </w:r>
      <w:r w:rsidR="009F77D1">
        <w:t xml:space="preserve"> </w:t>
      </w:r>
      <w:r w:rsidRPr="00800BF0">
        <w:t>gross motor function deficits, muscle weakness and pulmonary disease due to</w:t>
      </w:r>
      <w:r w:rsidR="009F77D1">
        <w:t xml:space="preserve"> </w:t>
      </w:r>
      <w:r w:rsidRPr="00800BF0">
        <w:t>neuromuscular weakness. Common complications include difficulty feeding,</w:t>
      </w:r>
      <w:r w:rsidR="009F77D1">
        <w:t xml:space="preserve"> </w:t>
      </w:r>
      <w:r w:rsidRPr="00800BF0">
        <w:t>swallowing, failure to thrive, loss of ambulation, scoliosis, joint contracture, pulmonary</w:t>
      </w:r>
      <w:r w:rsidR="009F77D1">
        <w:t xml:space="preserve"> </w:t>
      </w:r>
      <w:r w:rsidRPr="00800BF0">
        <w:t>disease and death</w:t>
      </w:r>
      <w:r w:rsidR="009F77D1">
        <w:t>.</w:t>
      </w:r>
    </w:p>
    <w:p w14:paraId="4BD1FDA5" w14:textId="3DCD3DB2" w:rsidR="00A62A0F" w:rsidRPr="00800BF0" w:rsidRDefault="00A62A0F" w:rsidP="00A62A0F">
      <w:r w:rsidRPr="00800BF0">
        <w:rPr>
          <w:b/>
          <w:bCs/>
        </w:rPr>
        <w:t xml:space="preserve">Spinal Muscular Atrophy Types I, II, III </w:t>
      </w:r>
      <w:r w:rsidRPr="00800BF0">
        <w:t>– Type I manifests around or before the</w:t>
      </w:r>
      <w:r w:rsidR="009F77D1">
        <w:t xml:space="preserve"> </w:t>
      </w:r>
      <w:r w:rsidRPr="00800BF0">
        <w:t xml:space="preserve">patient is 6 months </w:t>
      </w:r>
      <w:r w:rsidR="0041717D">
        <w:t>old</w:t>
      </w:r>
      <w:r w:rsidRPr="00800BF0">
        <w:t>. The presentation may include: hypotonia, unable to control</w:t>
      </w:r>
      <w:r w:rsidR="009F77D1">
        <w:t xml:space="preserve"> </w:t>
      </w:r>
      <w:r w:rsidRPr="00800BF0">
        <w:t>head movement, unable to sit without assistance. Type II has an onset between 6 to 18</w:t>
      </w:r>
      <w:r w:rsidR="009F77D1">
        <w:t xml:space="preserve"> </w:t>
      </w:r>
      <w:r w:rsidRPr="00800BF0">
        <w:t>months. Patients are generally able to sit independently</w:t>
      </w:r>
      <w:r w:rsidR="0041717D">
        <w:t>.</w:t>
      </w:r>
      <w:r w:rsidRPr="00800BF0">
        <w:t xml:space="preserve"> </w:t>
      </w:r>
      <w:r w:rsidR="0041717D">
        <w:t>T</w:t>
      </w:r>
      <w:r w:rsidRPr="00800BF0">
        <w:t>he ability to walk is usually not</w:t>
      </w:r>
      <w:r w:rsidR="009F77D1">
        <w:t xml:space="preserve"> </w:t>
      </w:r>
      <w:r w:rsidRPr="00800BF0">
        <w:t>achieved without assistance. Type III manifests after the patient is 18 months</w:t>
      </w:r>
      <w:r w:rsidR="0041717D">
        <w:t xml:space="preserve"> old</w:t>
      </w:r>
      <w:r w:rsidRPr="00800BF0">
        <w:t xml:space="preserve"> or</w:t>
      </w:r>
      <w:r w:rsidR="009F77D1">
        <w:t xml:space="preserve"> </w:t>
      </w:r>
      <w:r w:rsidRPr="00800BF0">
        <w:t>older. Patients may be able to walk without assistance or lose the ability to walk.</w:t>
      </w:r>
    </w:p>
    <w:p w14:paraId="50F6E8A9" w14:textId="365336F4" w:rsidR="00E768E6" w:rsidRDefault="00B21AF9" w:rsidP="00E35E4A">
      <w:pPr>
        <w:pStyle w:val="Heading1"/>
      </w:pPr>
      <w:bookmarkStart w:id="28" w:name="_Toc225170476"/>
      <w:r>
        <w:t>Policy History</w:t>
      </w:r>
      <w:bookmarkEnd w:id="25"/>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2ED02FA3" w:rsidR="00E768E6" w:rsidRDefault="00121D1A" w:rsidP="00E35E4A">
            <w:pPr>
              <w:pStyle w:val="In-TextTable"/>
            </w:pPr>
            <w:r>
              <w:t>M</w:t>
            </w:r>
            <w:r w:rsidR="00C77049">
              <w:t>arch 2026</w:t>
            </w:r>
          </w:p>
        </w:tc>
        <w:tc>
          <w:tcPr>
            <w:tcW w:w="3755" w:type="pct"/>
          </w:tcPr>
          <w:p w14:paraId="50F6E8AF" w14:textId="7368969C" w:rsidR="00E35E4A" w:rsidRDefault="00F157E2" w:rsidP="00E177C5">
            <w:pPr>
              <w:pStyle w:val="ListParagraph"/>
              <w:numPr>
                <w:ilvl w:val="0"/>
                <w:numId w:val="28"/>
              </w:numPr>
            </w:pPr>
            <w:r>
              <w:t>Added dosing criteria to both initial and reauthorization sections</w:t>
            </w:r>
          </w:p>
        </w:tc>
      </w:tr>
      <w:tr w:rsidR="00E768E6" w14:paraId="50F6E8B4" w14:textId="77777777" w:rsidTr="00E35E4A">
        <w:tc>
          <w:tcPr>
            <w:tcW w:w="1245" w:type="pct"/>
          </w:tcPr>
          <w:p w14:paraId="50F6E8B1" w14:textId="1E5B3110" w:rsidR="00E768E6" w:rsidRDefault="00F157E2" w:rsidP="00E35E4A">
            <w:pPr>
              <w:pStyle w:val="In-TextTable"/>
            </w:pPr>
            <w:r>
              <w:t>February 2023</w:t>
            </w:r>
          </w:p>
        </w:tc>
        <w:tc>
          <w:tcPr>
            <w:tcW w:w="3755" w:type="pct"/>
          </w:tcPr>
          <w:p w14:paraId="50F6E8B3" w14:textId="4AB43BB7" w:rsidR="00E768E6" w:rsidRDefault="00F157E2" w:rsidP="00E177C5">
            <w:pPr>
              <w:pStyle w:val="ListParagraph"/>
              <w:numPr>
                <w:ilvl w:val="0"/>
                <w:numId w:val="28"/>
              </w:numPr>
            </w:pPr>
            <w:r>
              <w:t xml:space="preserve">Updated authorization duration to </w:t>
            </w:r>
            <w:r w:rsidR="001E15CC">
              <w:t>one</w:t>
            </w:r>
            <w:r>
              <w:t xml:space="preserve"> year</w:t>
            </w:r>
          </w:p>
        </w:tc>
      </w:tr>
      <w:tr w:rsidR="00E768E6" w14:paraId="50F6E8B8" w14:textId="77777777" w:rsidTr="00E35E4A">
        <w:tc>
          <w:tcPr>
            <w:tcW w:w="1245" w:type="pct"/>
          </w:tcPr>
          <w:p w14:paraId="50F6E8B5" w14:textId="7FB02ECB" w:rsidR="00E768E6" w:rsidRDefault="00F16324" w:rsidP="00E35E4A">
            <w:pPr>
              <w:pStyle w:val="In-TextTable"/>
            </w:pPr>
            <w:r>
              <w:t>March 2022</w:t>
            </w:r>
          </w:p>
        </w:tc>
        <w:tc>
          <w:tcPr>
            <w:tcW w:w="3755" w:type="pct"/>
          </w:tcPr>
          <w:p w14:paraId="50F6E8B7" w14:textId="7F63AA9A" w:rsidR="00E768E6" w:rsidRDefault="00F16324" w:rsidP="00E177C5">
            <w:pPr>
              <w:pStyle w:val="ListParagraph"/>
              <w:numPr>
                <w:ilvl w:val="0"/>
                <w:numId w:val="28"/>
              </w:numPr>
            </w:pPr>
            <w:r>
              <w:rPr>
                <w:color w:val="000000"/>
              </w:rPr>
              <w:t xml:space="preserve">New </w:t>
            </w:r>
            <w:r w:rsidR="001E15CC">
              <w:rPr>
                <w:color w:val="000000"/>
              </w:rPr>
              <w:t>g</w:t>
            </w:r>
            <w:r>
              <w:rPr>
                <w:color w:val="000000"/>
              </w:rPr>
              <w:t>uideline</w:t>
            </w:r>
          </w:p>
        </w:tc>
      </w:tr>
    </w:tbl>
    <w:p w14:paraId="50F6E8BE" w14:textId="77777777" w:rsidR="00E768E6" w:rsidRDefault="00B21AF9" w:rsidP="00A03DEC">
      <w:pPr>
        <w:pStyle w:val="Heading1"/>
      </w:pPr>
      <w:bookmarkStart w:id="29" w:name="4b512564-b43b-4807-b45a-5748be5b1408"/>
      <w:bookmarkStart w:id="30" w:name="_Toc225170477"/>
      <w:r>
        <w:t>Legal and Compliance</w:t>
      </w:r>
      <w:bookmarkEnd w:id="29"/>
      <w:bookmarkEnd w:id="30"/>
    </w:p>
    <w:p w14:paraId="50F6E8BF" w14:textId="77777777" w:rsidR="00E768E6" w:rsidRDefault="00B21AF9" w:rsidP="00A03DEC">
      <w:pPr>
        <w:pStyle w:val="Heading2"/>
        <w:spacing w:before="120"/>
      </w:pPr>
      <w:bookmarkStart w:id="31" w:name="04291978-1a0a-4575-ba22-05363952021b"/>
      <w:bookmarkStart w:id="32" w:name="_Toc225170478"/>
      <w:r>
        <w:t>Guideline Approval</w:t>
      </w:r>
      <w:bookmarkEnd w:id="31"/>
      <w:bookmarkEnd w:id="32"/>
    </w:p>
    <w:p w14:paraId="50F6E8C0" w14:textId="77777777" w:rsidR="00E768E6" w:rsidRDefault="00B21AF9" w:rsidP="00A03DEC">
      <w:pPr>
        <w:pStyle w:val="Heading3"/>
        <w:spacing w:before="120"/>
      </w:pPr>
      <w:bookmarkStart w:id="33" w:name="b97fcac7-a717-42a2-b4fe-62c00859e1e4"/>
      <w:bookmarkStart w:id="34" w:name="_Toc225170479"/>
      <w:r>
        <w:t>Committee</w:t>
      </w:r>
      <w:bookmarkEnd w:id="33"/>
      <w:bookmarkEnd w:id="34"/>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rsidP="006D3033">
      <w:pPr>
        <w:pStyle w:val="Heading2"/>
        <w:keepNext/>
      </w:pPr>
      <w:bookmarkStart w:id="35" w:name="2aca8366-a793-4f5d-9375-d9ccb446b05d"/>
      <w:bookmarkStart w:id="36" w:name="_Toc225170480"/>
      <w:r>
        <w:lastRenderedPageBreak/>
        <w:t>Disclaimer</w:t>
      </w:r>
      <w:bookmarkEnd w:id="35"/>
      <w:bookmarkEnd w:id="36"/>
    </w:p>
    <w:p w14:paraId="4F0AF386" w14:textId="77777777" w:rsidR="0060472B" w:rsidRPr="0060472B" w:rsidRDefault="00B21AF9" w:rsidP="0060472B">
      <w:pPr>
        <w:rPr>
          <w:i/>
          <w:iCs/>
          <w:color w:val="000000"/>
        </w:rPr>
      </w:pPr>
      <w:r>
        <w:rPr>
          <w:i/>
          <w:iCs/>
          <w:color w:val="000000"/>
        </w:rPr>
        <w:t xml:space="preserve">Evolent Clinical Guidelines do not constitute medical advice. Treating health care professionals </w:t>
      </w:r>
      <w:r w:rsidR="0060472B" w:rsidRPr="0060472B">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60ECA505" w14:textId="77777777" w:rsidR="0060472B" w:rsidRPr="0060472B" w:rsidRDefault="0060472B" w:rsidP="0060472B">
      <w:pPr>
        <w:rPr>
          <w:i/>
          <w:iCs/>
          <w:color w:val="000000"/>
        </w:rPr>
      </w:pPr>
    </w:p>
    <w:p w14:paraId="7CD03880" w14:textId="7183A241" w:rsidR="00EC7EE7" w:rsidRPr="00EC7EE7" w:rsidRDefault="0060472B" w:rsidP="0060472B">
      <w:pPr>
        <w:rPr>
          <w:b/>
          <w:bCs/>
          <w:i/>
          <w:iCs/>
          <w:color w:val="000000"/>
        </w:rPr>
      </w:pPr>
      <w:r w:rsidRPr="0060472B">
        <w:rPr>
          <w:i/>
          <w:iCs/>
          <w:color w:val="000000"/>
        </w:rPr>
        <w:t>Evolent Clinical Guidelines are comprehensive and inclusive of various procedural applications for each service type. Our guidelines may be used to supplement Medicare criteria when such criteria is not fully established. When Medicare criteria is determined to not be fully established, we only reference the relevant portion of the corresponding Evolent Clinical Guideline that is applicable to the specific service or item requested in order to determine medical necessity. </w:t>
      </w:r>
    </w:p>
    <w:p w14:paraId="3DD7D67B" w14:textId="77777777" w:rsidR="00EC7EE7" w:rsidRDefault="00EC7EE7">
      <w:pPr>
        <w:spacing w:before="0" w:after="0"/>
        <w:rPr>
          <w:rFonts w:eastAsia="Calibri" w:cs="Calibri"/>
          <w:b/>
          <w:bCs/>
          <w:caps/>
          <w:sz w:val="36"/>
          <w:szCs w:val="28"/>
        </w:rPr>
      </w:pPr>
      <w:r>
        <w:br w:type="page"/>
      </w:r>
    </w:p>
    <w:p w14:paraId="50F6E8C6" w14:textId="04369AA8" w:rsidR="00E768E6" w:rsidRDefault="00B21AF9" w:rsidP="00A03DEC">
      <w:pPr>
        <w:pStyle w:val="Heading1"/>
      </w:pPr>
      <w:bookmarkStart w:id="37" w:name="_Toc225170481"/>
      <w:r>
        <w:lastRenderedPageBreak/>
        <w:t>References</w:t>
      </w:r>
      <w:bookmarkEnd w:id="37"/>
    </w:p>
    <w:p w14:paraId="5CD64329" w14:textId="347C8407" w:rsidR="009F77D1" w:rsidRPr="00800BF0" w:rsidRDefault="009F77D1" w:rsidP="00C77049">
      <w:pPr>
        <w:pStyle w:val="ListParagraph"/>
        <w:numPr>
          <w:ilvl w:val="0"/>
          <w:numId w:val="32"/>
        </w:numPr>
        <w:spacing w:after="0"/>
        <w:rPr>
          <w:szCs w:val="22"/>
        </w:rPr>
      </w:pPr>
      <w:bookmarkStart w:id="38" w:name="_Hlk12763669"/>
      <w:r w:rsidRPr="00800BF0">
        <w:rPr>
          <w:szCs w:val="22"/>
        </w:rPr>
        <w:t xml:space="preserve">Spinraza [prescribing information]. Cambridge, MA Biogen, Inc.; </w:t>
      </w:r>
      <w:r w:rsidR="00095E65">
        <w:rPr>
          <w:szCs w:val="22"/>
        </w:rPr>
        <w:t>4/2024</w:t>
      </w:r>
      <w:r w:rsidRPr="00800BF0">
        <w:rPr>
          <w:szCs w:val="22"/>
        </w:rPr>
        <w:t>.</w:t>
      </w:r>
    </w:p>
    <w:p w14:paraId="22DB6ACA" w14:textId="433D709C" w:rsidR="009F77D1" w:rsidRPr="00800BF0" w:rsidRDefault="009F77D1" w:rsidP="00C77049">
      <w:pPr>
        <w:pStyle w:val="ListParagraph"/>
        <w:numPr>
          <w:ilvl w:val="0"/>
          <w:numId w:val="32"/>
        </w:numPr>
        <w:spacing w:after="0"/>
        <w:rPr>
          <w:szCs w:val="22"/>
        </w:rPr>
      </w:pPr>
      <w:r w:rsidRPr="00800BF0">
        <w:rPr>
          <w:szCs w:val="22"/>
        </w:rPr>
        <w:t>Biogen, Inc. SPINRAZATM (nusinersen) injection Dossier V1, 12/30/2016.</w:t>
      </w:r>
    </w:p>
    <w:p w14:paraId="569C9AA1" w14:textId="2ADE13BF" w:rsidR="009F77D1" w:rsidRPr="00800BF0" w:rsidRDefault="009F77D1" w:rsidP="00C77049">
      <w:pPr>
        <w:pStyle w:val="ListParagraph"/>
        <w:numPr>
          <w:ilvl w:val="0"/>
          <w:numId w:val="32"/>
        </w:numPr>
        <w:spacing w:after="0"/>
        <w:rPr>
          <w:szCs w:val="22"/>
        </w:rPr>
      </w:pPr>
      <w:r w:rsidRPr="00800BF0">
        <w:rPr>
          <w:szCs w:val="22"/>
        </w:rPr>
        <w:t>Brooke MA, et al. Duchenne muscular dystrophy: patterns of clinical progression and effects of supportive therapy. Neurology 1989; 39:475-481.</w:t>
      </w:r>
    </w:p>
    <w:p w14:paraId="7828D13F" w14:textId="55D05D21" w:rsidR="009F77D1" w:rsidRPr="009F77D1" w:rsidRDefault="009F77D1" w:rsidP="00C77049">
      <w:pPr>
        <w:pStyle w:val="ListParagraph"/>
        <w:numPr>
          <w:ilvl w:val="0"/>
          <w:numId w:val="32"/>
        </w:numPr>
        <w:spacing w:after="0"/>
        <w:rPr>
          <w:szCs w:val="22"/>
        </w:rPr>
      </w:pPr>
      <w:r w:rsidRPr="00800BF0">
        <w:rPr>
          <w:szCs w:val="22"/>
        </w:rPr>
        <w:t xml:space="preserve">Glanzman AM, et al. The Children’s Hospital of Philadelphia Infant Test of Neuromuscular </w:t>
      </w:r>
      <w:r w:rsidRPr="009F77D1">
        <w:rPr>
          <w:szCs w:val="22"/>
        </w:rPr>
        <w:t>Disorders (CHOP INTEND): Test development and reliability. Neuromuscul Disord 2010; 20:155–161.</w:t>
      </w:r>
    </w:p>
    <w:p w14:paraId="2F67D4C3" w14:textId="415068E3" w:rsidR="009F77D1" w:rsidRPr="009F77D1" w:rsidRDefault="009F77D1" w:rsidP="00C77049">
      <w:pPr>
        <w:pStyle w:val="ListParagraph"/>
        <w:numPr>
          <w:ilvl w:val="0"/>
          <w:numId w:val="32"/>
        </w:numPr>
        <w:spacing w:after="0"/>
        <w:rPr>
          <w:szCs w:val="22"/>
        </w:rPr>
      </w:pPr>
      <w:r w:rsidRPr="00800BF0">
        <w:rPr>
          <w:szCs w:val="22"/>
        </w:rPr>
        <w:t xml:space="preserve">Haataja, et al. Optimality score for the neurological examination of the infant at 12 and 18 months </w:t>
      </w:r>
      <w:r w:rsidRPr="009F77D1">
        <w:rPr>
          <w:szCs w:val="22"/>
        </w:rPr>
        <w:t>of age. J Pediatr 1999; 135:153-61.</w:t>
      </w:r>
    </w:p>
    <w:p w14:paraId="3D5A1302" w14:textId="4FC5DAF6" w:rsidR="009F77D1" w:rsidRPr="00800BF0" w:rsidRDefault="009F77D1" w:rsidP="00C77049">
      <w:pPr>
        <w:pStyle w:val="ListParagraph"/>
        <w:numPr>
          <w:ilvl w:val="0"/>
          <w:numId w:val="32"/>
        </w:numPr>
        <w:spacing w:after="0"/>
        <w:rPr>
          <w:szCs w:val="22"/>
        </w:rPr>
      </w:pPr>
      <w:r w:rsidRPr="00800BF0">
        <w:rPr>
          <w:szCs w:val="22"/>
        </w:rPr>
        <w:t>Carre A, et al. Review of spinal muscular atrophy (SMA) for prenatal and pediatric genetic counselors. J Genet Couns 2016; 25:32-43.</w:t>
      </w:r>
    </w:p>
    <w:p w14:paraId="43980938" w14:textId="13C73382" w:rsidR="009F77D1" w:rsidRPr="00800BF0" w:rsidRDefault="009F77D1" w:rsidP="00C77049">
      <w:pPr>
        <w:pStyle w:val="ListParagraph"/>
        <w:numPr>
          <w:ilvl w:val="0"/>
          <w:numId w:val="32"/>
        </w:numPr>
        <w:spacing w:after="0"/>
        <w:rPr>
          <w:szCs w:val="22"/>
        </w:rPr>
      </w:pPr>
      <w:r w:rsidRPr="00800BF0">
        <w:rPr>
          <w:szCs w:val="22"/>
        </w:rPr>
        <w:t>Wang CH, et al. Consensus statement for standard of care in spinal muscular atrophy. J Child Neurol.2007; 22(8):1027-49.</w:t>
      </w:r>
    </w:p>
    <w:bookmarkEnd w:id="38"/>
    <w:p w14:paraId="50F6E8E0" w14:textId="7BBA1B10" w:rsidR="00E768E6" w:rsidRPr="00C764C3" w:rsidRDefault="00E768E6" w:rsidP="00800BF0">
      <w:pPr>
        <w:pStyle w:val="Bibliography"/>
        <w:rPr>
          <w:sz w:val="22"/>
        </w:rPr>
      </w:pPr>
    </w:p>
    <w:sectPr w:rsidR="00E768E6" w:rsidRPr="00C764C3"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883F" w14:textId="77777777" w:rsidR="000D6705" w:rsidRDefault="000D6705">
      <w:pPr>
        <w:spacing w:before="0" w:after="0"/>
      </w:pPr>
      <w:r>
        <w:separator/>
      </w:r>
    </w:p>
  </w:endnote>
  <w:endnote w:type="continuationSeparator" w:id="0">
    <w:p w14:paraId="022E012E" w14:textId="77777777" w:rsidR="000D6705" w:rsidRDefault="000D6705">
      <w:pPr>
        <w:spacing w:before="0" w:after="0"/>
      </w:pPr>
      <w:r>
        <w:continuationSeparator/>
      </w:r>
    </w:p>
  </w:endnote>
  <w:endnote w:type="continuationNotice" w:id="1">
    <w:p w14:paraId="4436B447" w14:textId="77777777" w:rsidR="000D6705" w:rsidRDefault="000D67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08987563" w:rsidR="00E768E6" w:rsidRDefault="5D66B660">
    <w:pPr>
      <w:pStyle w:val="Footer"/>
    </w:pPr>
    <w:r>
      <w:t xml:space="preserve">EVH Clinical Guideline </w:t>
    </w:r>
    <w:r w:rsidR="00003722">
      <w:t>5034</w:t>
    </w:r>
    <w:r>
      <w:t xml:space="preserve">.CC for </w:t>
    </w:r>
    <w:r w:rsidR="00774AA8">
      <w:t>Spinraza (nusinersen)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E662" w14:textId="77777777" w:rsidR="000D6705" w:rsidRDefault="000D6705">
      <w:pPr>
        <w:spacing w:before="0" w:after="0"/>
      </w:pPr>
      <w:r>
        <w:separator/>
      </w:r>
    </w:p>
  </w:footnote>
  <w:footnote w:type="continuationSeparator" w:id="0">
    <w:p w14:paraId="5D2E4A73" w14:textId="77777777" w:rsidR="000D6705" w:rsidRDefault="000D6705">
      <w:pPr>
        <w:spacing w:before="0" w:after="0"/>
      </w:pPr>
      <w:r>
        <w:continuationSeparator/>
      </w:r>
    </w:p>
  </w:footnote>
  <w:footnote w:type="continuationNotice" w:id="1">
    <w:p w14:paraId="788635EE" w14:textId="77777777" w:rsidR="000D6705" w:rsidRDefault="000D670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6AE56F7"/>
    <w:multiLevelType w:val="hybridMultilevel"/>
    <w:tmpl w:val="A5A2D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1"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18"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0"/>
    <w:lvlOverride w:ilvl="0">
      <w:startOverride w:val="1"/>
    </w:lvlOverride>
  </w:num>
  <w:num w:numId="2" w16cid:durableId="1704356648">
    <w:abstractNumId w:val="17"/>
    <w:lvlOverride w:ilvl="0">
      <w:startOverride w:val="1"/>
    </w:lvlOverride>
  </w:num>
  <w:num w:numId="3" w16cid:durableId="1483080296">
    <w:abstractNumId w:val="3"/>
  </w:num>
  <w:num w:numId="4" w16cid:durableId="1938244795">
    <w:abstractNumId w:val="29"/>
  </w:num>
  <w:num w:numId="5" w16cid:durableId="443425685">
    <w:abstractNumId w:val="12"/>
  </w:num>
  <w:num w:numId="6" w16cid:durableId="1035155679">
    <w:abstractNumId w:val="30"/>
  </w:num>
  <w:num w:numId="7" w16cid:durableId="1644895934">
    <w:abstractNumId w:val="8"/>
  </w:num>
  <w:num w:numId="8" w16cid:durableId="108479868">
    <w:abstractNumId w:val="23"/>
  </w:num>
  <w:num w:numId="9" w16cid:durableId="1305232670">
    <w:abstractNumId w:val="21"/>
  </w:num>
  <w:num w:numId="10" w16cid:durableId="2028941698">
    <w:abstractNumId w:val="2"/>
  </w:num>
  <w:num w:numId="11" w16cid:durableId="685055951">
    <w:abstractNumId w:val="28"/>
  </w:num>
  <w:num w:numId="12" w16cid:durableId="1693796029">
    <w:abstractNumId w:val="4"/>
  </w:num>
  <w:num w:numId="13" w16cid:durableId="1488281355">
    <w:abstractNumId w:val="33"/>
  </w:num>
  <w:num w:numId="14" w16cid:durableId="1127746351">
    <w:abstractNumId w:val="1"/>
  </w:num>
  <w:num w:numId="15" w16cid:durableId="1163937515">
    <w:abstractNumId w:val="27"/>
  </w:num>
  <w:num w:numId="16" w16cid:durableId="1995992187">
    <w:abstractNumId w:val="31"/>
  </w:num>
  <w:num w:numId="17" w16cid:durableId="950631868">
    <w:abstractNumId w:val="25"/>
  </w:num>
  <w:num w:numId="18" w16cid:durableId="1517035596">
    <w:abstractNumId w:val="20"/>
  </w:num>
  <w:num w:numId="19" w16cid:durableId="1614359465">
    <w:abstractNumId w:val="14"/>
  </w:num>
  <w:num w:numId="20" w16cid:durableId="839387076">
    <w:abstractNumId w:val="5"/>
  </w:num>
  <w:num w:numId="21" w16cid:durableId="1537111969">
    <w:abstractNumId w:val="11"/>
  </w:num>
  <w:num w:numId="22" w16cid:durableId="2022773969">
    <w:abstractNumId w:val="13"/>
  </w:num>
  <w:num w:numId="23" w16cid:durableId="547644220">
    <w:abstractNumId w:val="15"/>
  </w:num>
  <w:num w:numId="24" w16cid:durableId="313678777">
    <w:abstractNumId w:val="9"/>
  </w:num>
  <w:num w:numId="25" w16cid:durableId="80952899">
    <w:abstractNumId w:val="24"/>
  </w:num>
  <w:num w:numId="26" w16cid:durableId="2072842429">
    <w:abstractNumId w:val="22"/>
  </w:num>
  <w:num w:numId="27" w16cid:durableId="2086607144">
    <w:abstractNumId w:val="19"/>
  </w:num>
  <w:num w:numId="28" w16cid:durableId="1729299406">
    <w:abstractNumId w:val="6"/>
  </w:num>
  <w:num w:numId="29" w16cid:durableId="2028435484">
    <w:abstractNumId w:val="0"/>
  </w:num>
  <w:num w:numId="30" w16cid:durableId="433867396">
    <w:abstractNumId w:val="26"/>
  </w:num>
  <w:num w:numId="31" w16cid:durableId="1470515242">
    <w:abstractNumId w:val="18"/>
  </w:num>
  <w:num w:numId="32" w16cid:durableId="1174343212">
    <w:abstractNumId w:val="7"/>
  </w:num>
  <w:num w:numId="33" w16cid:durableId="796143920">
    <w:abstractNumId w:val="16"/>
  </w:num>
  <w:num w:numId="34" w16cid:durableId="209828117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3722"/>
    <w:rsid w:val="0000507B"/>
    <w:rsid w:val="00007FBA"/>
    <w:rsid w:val="00013A93"/>
    <w:rsid w:val="0001683F"/>
    <w:rsid w:val="00020083"/>
    <w:rsid w:val="00020EE2"/>
    <w:rsid w:val="00022F52"/>
    <w:rsid w:val="00033EE8"/>
    <w:rsid w:val="0003646D"/>
    <w:rsid w:val="000428D6"/>
    <w:rsid w:val="00046994"/>
    <w:rsid w:val="0004797B"/>
    <w:rsid w:val="00085B86"/>
    <w:rsid w:val="00090D5F"/>
    <w:rsid w:val="00091912"/>
    <w:rsid w:val="00095E65"/>
    <w:rsid w:val="000B5014"/>
    <w:rsid w:val="000B5A65"/>
    <w:rsid w:val="000C78BB"/>
    <w:rsid w:val="000D07A6"/>
    <w:rsid w:val="000D4859"/>
    <w:rsid w:val="000D6705"/>
    <w:rsid w:val="000E54AA"/>
    <w:rsid w:val="000E56E6"/>
    <w:rsid w:val="000F26CB"/>
    <w:rsid w:val="000F4F33"/>
    <w:rsid w:val="00107484"/>
    <w:rsid w:val="00121D1A"/>
    <w:rsid w:val="00131376"/>
    <w:rsid w:val="001331D9"/>
    <w:rsid w:val="00137B11"/>
    <w:rsid w:val="001542FF"/>
    <w:rsid w:val="00165017"/>
    <w:rsid w:val="00170BE8"/>
    <w:rsid w:val="00184B0B"/>
    <w:rsid w:val="001906D9"/>
    <w:rsid w:val="00192D85"/>
    <w:rsid w:val="001B47C5"/>
    <w:rsid w:val="001C3443"/>
    <w:rsid w:val="001C6AD6"/>
    <w:rsid w:val="001E15CC"/>
    <w:rsid w:val="001F3FBD"/>
    <w:rsid w:val="0020217A"/>
    <w:rsid w:val="00211956"/>
    <w:rsid w:val="00226856"/>
    <w:rsid w:val="00254BB7"/>
    <w:rsid w:val="002561E8"/>
    <w:rsid w:val="00256E53"/>
    <w:rsid w:val="0026198C"/>
    <w:rsid w:val="00265A17"/>
    <w:rsid w:val="00265D7B"/>
    <w:rsid w:val="00266200"/>
    <w:rsid w:val="0026763F"/>
    <w:rsid w:val="002758AC"/>
    <w:rsid w:val="00291702"/>
    <w:rsid w:val="002A1528"/>
    <w:rsid w:val="002A5A0A"/>
    <w:rsid w:val="002B4658"/>
    <w:rsid w:val="002B581F"/>
    <w:rsid w:val="002C685E"/>
    <w:rsid w:val="002D5BAA"/>
    <w:rsid w:val="002F2953"/>
    <w:rsid w:val="0030732A"/>
    <w:rsid w:val="00324C14"/>
    <w:rsid w:val="00366A37"/>
    <w:rsid w:val="00371D5A"/>
    <w:rsid w:val="00392C61"/>
    <w:rsid w:val="003B5C72"/>
    <w:rsid w:val="003B7958"/>
    <w:rsid w:val="003E3C4A"/>
    <w:rsid w:val="003F1770"/>
    <w:rsid w:val="00402C76"/>
    <w:rsid w:val="00402D8F"/>
    <w:rsid w:val="0041717D"/>
    <w:rsid w:val="00426325"/>
    <w:rsid w:val="0042696D"/>
    <w:rsid w:val="004900DC"/>
    <w:rsid w:val="00491493"/>
    <w:rsid w:val="004A6F71"/>
    <w:rsid w:val="004B5DBF"/>
    <w:rsid w:val="004C3BCE"/>
    <w:rsid w:val="004C4FCD"/>
    <w:rsid w:val="004D20A0"/>
    <w:rsid w:val="004D6BF0"/>
    <w:rsid w:val="004D6F63"/>
    <w:rsid w:val="00514C1A"/>
    <w:rsid w:val="00515EC6"/>
    <w:rsid w:val="00520329"/>
    <w:rsid w:val="00534131"/>
    <w:rsid w:val="00535D45"/>
    <w:rsid w:val="00542876"/>
    <w:rsid w:val="00544CAA"/>
    <w:rsid w:val="005671B2"/>
    <w:rsid w:val="00593230"/>
    <w:rsid w:val="005A77A8"/>
    <w:rsid w:val="005B45BB"/>
    <w:rsid w:val="005C156E"/>
    <w:rsid w:val="005C5C11"/>
    <w:rsid w:val="005D7959"/>
    <w:rsid w:val="005E1BA6"/>
    <w:rsid w:val="005F20CB"/>
    <w:rsid w:val="005F4EF2"/>
    <w:rsid w:val="005F6B75"/>
    <w:rsid w:val="005F7F01"/>
    <w:rsid w:val="0060472B"/>
    <w:rsid w:val="006115FD"/>
    <w:rsid w:val="00616BF8"/>
    <w:rsid w:val="0063414B"/>
    <w:rsid w:val="00645EB1"/>
    <w:rsid w:val="00667E6D"/>
    <w:rsid w:val="00673DF1"/>
    <w:rsid w:val="006759EC"/>
    <w:rsid w:val="00687B17"/>
    <w:rsid w:val="0069442A"/>
    <w:rsid w:val="006B408B"/>
    <w:rsid w:val="006B4506"/>
    <w:rsid w:val="006D3033"/>
    <w:rsid w:val="006F2FF7"/>
    <w:rsid w:val="006F3F41"/>
    <w:rsid w:val="00713883"/>
    <w:rsid w:val="00714A8C"/>
    <w:rsid w:val="007420BF"/>
    <w:rsid w:val="00750FAB"/>
    <w:rsid w:val="00774AA8"/>
    <w:rsid w:val="007765BD"/>
    <w:rsid w:val="0078667C"/>
    <w:rsid w:val="0079769E"/>
    <w:rsid w:val="007C0375"/>
    <w:rsid w:val="007F147F"/>
    <w:rsid w:val="00800BF0"/>
    <w:rsid w:val="00800EA8"/>
    <w:rsid w:val="008200CB"/>
    <w:rsid w:val="008401CF"/>
    <w:rsid w:val="008541B7"/>
    <w:rsid w:val="0088160A"/>
    <w:rsid w:val="00886909"/>
    <w:rsid w:val="008878C3"/>
    <w:rsid w:val="008912B2"/>
    <w:rsid w:val="008A68A1"/>
    <w:rsid w:val="008D27CA"/>
    <w:rsid w:val="008F3B8D"/>
    <w:rsid w:val="00903D20"/>
    <w:rsid w:val="009074F3"/>
    <w:rsid w:val="00925C8B"/>
    <w:rsid w:val="00937AE7"/>
    <w:rsid w:val="00940509"/>
    <w:rsid w:val="0094142F"/>
    <w:rsid w:val="00945A28"/>
    <w:rsid w:val="00962667"/>
    <w:rsid w:val="009A0D54"/>
    <w:rsid w:val="009A52C1"/>
    <w:rsid w:val="009B6EAE"/>
    <w:rsid w:val="009C6367"/>
    <w:rsid w:val="009C6502"/>
    <w:rsid w:val="009D024B"/>
    <w:rsid w:val="009E5DF1"/>
    <w:rsid w:val="009F0851"/>
    <w:rsid w:val="009F77D1"/>
    <w:rsid w:val="00A03DEC"/>
    <w:rsid w:val="00A376EA"/>
    <w:rsid w:val="00A62A0F"/>
    <w:rsid w:val="00A858B1"/>
    <w:rsid w:val="00A95B64"/>
    <w:rsid w:val="00AA523B"/>
    <w:rsid w:val="00AB1645"/>
    <w:rsid w:val="00AD63EA"/>
    <w:rsid w:val="00B04EC0"/>
    <w:rsid w:val="00B21AF9"/>
    <w:rsid w:val="00B437B6"/>
    <w:rsid w:val="00B453FA"/>
    <w:rsid w:val="00B46E71"/>
    <w:rsid w:val="00B4747E"/>
    <w:rsid w:val="00B51283"/>
    <w:rsid w:val="00B5432B"/>
    <w:rsid w:val="00B577D6"/>
    <w:rsid w:val="00B64842"/>
    <w:rsid w:val="00B73404"/>
    <w:rsid w:val="00B95186"/>
    <w:rsid w:val="00BB3C91"/>
    <w:rsid w:val="00BC594E"/>
    <w:rsid w:val="00BE1780"/>
    <w:rsid w:val="00BE46D9"/>
    <w:rsid w:val="00BE5A38"/>
    <w:rsid w:val="00C03674"/>
    <w:rsid w:val="00C037EE"/>
    <w:rsid w:val="00C06406"/>
    <w:rsid w:val="00C10F2D"/>
    <w:rsid w:val="00C27384"/>
    <w:rsid w:val="00C70BDC"/>
    <w:rsid w:val="00C764C3"/>
    <w:rsid w:val="00C77049"/>
    <w:rsid w:val="00C808BD"/>
    <w:rsid w:val="00C90C11"/>
    <w:rsid w:val="00C96DD2"/>
    <w:rsid w:val="00CA5D81"/>
    <w:rsid w:val="00CA6FC8"/>
    <w:rsid w:val="00CC01E8"/>
    <w:rsid w:val="00CE7F1D"/>
    <w:rsid w:val="00D14C19"/>
    <w:rsid w:val="00D20CC0"/>
    <w:rsid w:val="00D239EA"/>
    <w:rsid w:val="00D26970"/>
    <w:rsid w:val="00D34622"/>
    <w:rsid w:val="00D4494C"/>
    <w:rsid w:val="00D72CDD"/>
    <w:rsid w:val="00D80977"/>
    <w:rsid w:val="00D87D1A"/>
    <w:rsid w:val="00D9316C"/>
    <w:rsid w:val="00DB5A1E"/>
    <w:rsid w:val="00DD7B3A"/>
    <w:rsid w:val="00DE394E"/>
    <w:rsid w:val="00DE69AD"/>
    <w:rsid w:val="00E150C0"/>
    <w:rsid w:val="00E177C5"/>
    <w:rsid w:val="00E32AC4"/>
    <w:rsid w:val="00E35E4A"/>
    <w:rsid w:val="00E36087"/>
    <w:rsid w:val="00E4345B"/>
    <w:rsid w:val="00E768E6"/>
    <w:rsid w:val="00E81E1A"/>
    <w:rsid w:val="00EB23A5"/>
    <w:rsid w:val="00EC07E7"/>
    <w:rsid w:val="00EC13C6"/>
    <w:rsid w:val="00EC7EE7"/>
    <w:rsid w:val="00EE609C"/>
    <w:rsid w:val="00F01531"/>
    <w:rsid w:val="00F157E2"/>
    <w:rsid w:val="00F16324"/>
    <w:rsid w:val="00F45AB3"/>
    <w:rsid w:val="00F57D9A"/>
    <w:rsid w:val="00F92FF8"/>
    <w:rsid w:val="00FA12C1"/>
    <w:rsid w:val="00FB22B9"/>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paragraph" w:customStyle="1" w:styleId="PolicyParagraphs">
    <w:name w:val="Policy Paragraphs"/>
    <w:basedOn w:val="Normal"/>
    <w:uiPriority w:val="1"/>
    <w:qFormat/>
    <w:rsid w:val="00A62A0F"/>
    <w:pPr>
      <w:widowControl w:val="0"/>
      <w:spacing w:before="0" w:after="0"/>
      <w:ind w:left="72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2.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3.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4.xml><?xml version="1.0" encoding="utf-8"?>
<ds:datastoreItem xmlns:ds="http://schemas.openxmlformats.org/officeDocument/2006/customXml" ds:itemID="{4F9BC4A4-1928-49DA-96DC-68F0F16B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8</TotalTime>
  <Pages>7</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Weber, Elizabeth</cp:lastModifiedBy>
  <cp:revision>3</cp:revision>
  <cp:lastPrinted>2026-05-22T02:43:00Z</cp:lastPrinted>
  <dcterms:created xsi:type="dcterms:W3CDTF">2026-06-02T03:16:00Z</dcterms:created>
  <dcterms:modified xsi:type="dcterms:W3CDTF">2026-06-11T20:21:00Z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