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0A9C55DA" w:rsidR="00E768E6" w:rsidRDefault="00B21AF9" w:rsidP="00A03DEC">
      <w:pPr>
        <w:pStyle w:val="Title"/>
      </w:pPr>
      <w:r>
        <w:t>E</w:t>
      </w:r>
      <w:r w:rsidR="21CF55F4">
        <w:t>VH</w:t>
      </w:r>
      <w:r>
        <w:t xml:space="preserve"> Clinical Guideline </w:t>
      </w:r>
      <w:r w:rsidR="00C368CE">
        <w:t>5039</w:t>
      </w:r>
      <w:r w:rsidR="005F7F01">
        <w:t>.CC</w:t>
      </w:r>
      <w:r>
        <w:t xml:space="preserve"> for </w:t>
      </w:r>
      <w:r w:rsidR="00D03EF8">
        <w:t>Evkeeza (evinacumab-dgnb)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3ADE5B99"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C368CE">
              <w:rPr>
                <w:b w:val="0"/>
                <w:bCs/>
              </w:rPr>
              <w:t>5039</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5989C6D2" w:rsidR="00E768E6" w:rsidRDefault="00B21AF9" w:rsidP="006F2FF7">
            <w:pPr>
              <w:pStyle w:val="TitleTable"/>
            </w:pPr>
            <w:r>
              <w:rPr>
                <w:i/>
                <w:iCs/>
              </w:rPr>
              <w:t>© 202</w:t>
            </w:r>
            <w:r w:rsidR="00C368CE">
              <w:rPr>
                <w:i/>
                <w:iCs/>
              </w:rPr>
              <w:t>4</w:t>
            </w:r>
            <w:r w:rsidR="00B64842">
              <w:rPr>
                <w:i/>
                <w:iCs/>
              </w:rPr>
              <w:t xml:space="preserve"> </w:t>
            </w:r>
            <w:r w:rsidR="002B4658">
              <w:rPr>
                <w:i/>
                <w:iCs/>
              </w:rPr>
              <w:t>-</w:t>
            </w:r>
            <w:r w:rsidR="00B64842">
              <w:rPr>
                <w:i/>
                <w:iCs/>
              </w:rPr>
              <w:t xml:space="preserve"> 202</w:t>
            </w:r>
            <w:r w:rsidR="00C368CE">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2B1BA0C9" w:rsidR="00E768E6" w:rsidRPr="006F2FF7" w:rsidRDefault="00EE5571" w:rsidP="006F2FF7">
            <w:pPr>
              <w:pStyle w:val="TitleTable"/>
              <w:rPr>
                <w:b w:val="0"/>
                <w:bCs/>
              </w:rPr>
            </w:pPr>
            <w:r>
              <w:rPr>
                <w:b w:val="0"/>
                <w:bCs/>
              </w:rPr>
              <w:t>January 2024</w:t>
            </w:r>
          </w:p>
        </w:tc>
        <w:tc>
          <w:tcPr>
            <w:tcW w:w="1686" w:type="pct"/>
          </w:tcPr>
          <w:p w14:paraId="50F6E751" w14:textId="77777777" w:rsidR="00E768E6" w:rsidRDefault="00B21AF9" w:rsidP="006F2FF7">
            <w:pPr>
              <w:pStyle w:val="TitleTable"/>
            </w:pPr>
            <w:r>
              <w:t>Last Revised Date:</w:t>
            </w:r>
          </w:p>
          <w:p w14:paraId="50F6E752" w14:textId="7251FFF3" w:rsidR="00E768E6" w:rsidRPr="006F2FF7" w:rsidRDefault="00AC00FB" w:rsidP="006F2FF7">
            <w:pPr>
              <w:pStyle w:val="TitleTable"/>
              <w:rPr>
                <w:b w:val="0"/>
                <w:bCs/>
              </w:rPr>
            </w:pPr>
            <w:r>
              <w:rPr>
                <w:b w:val="0"/>
                <w:bCs/>
              </w:rPr>
              <w:t xml:space="preserve">March </w:t>
            </w:r>
            <w:r w:rsidR="00EE5571">
              <w:rPr>
                <w:b w:val="0"/>
                <w:bCs/>
              </w:rPr>
              <w:t>202</w:t>
            </w:r>
            <w:r>
              <w:rPr>
                <w:b w:val="0"/>
                <w:bCs/>
              </w:rPr>
              <w:t>6</w:t>
            </w:r>
          </w:p>
        </w:tc>
        <w:tc>
          <w:tcPr>
            <w:tcW w:w="1459" w:type="pct"/>
          </w:tcPr>
          <w:p w14:paraId="50F6E753" w14:textId="77777777" w:rsidR="00E768E6" w:rsidRDefault="00B21AF9" w:rsidP="006F2FF7">
            <w:pPr>
              <w:pStyle w:val="TitleTable"/>
            </w:pPr>
            <w:r>
              <w:t>Implementation Date:</w:t>
            </w:r>
          </w:p>
          <w:p w14:paraId="50F6E754" w14:textId="1EECF1CA" w:rsidR="00E768E6" w:rsidRPr="006F2FF7" w:rsidRDefault="00AC00FB" w:rsidP="006F2FF7">
            <w:pPr>
              <w:pStyle w:val="TitleTable"/>
              <w:rPr>
                <w:b w:val="0"/>
                <w:bCs/>
              </w:rPr>
            </w:pPr>
            <w:r>
              <w:rPr>
                <w:b w:val="0"/>
                <w:bCs/>
              </w:rPr>
              <w:t>June</w:t>
            </w:r>
            <w:r w:rsidR="00C368CE">
              <w:rPr>
                <w:b w:val="0"/>
                <w:bCs/>
              </w:rPr>
              <w:t xml:space="preserve"> 202</w:t>
            </w:r>
            <w:r>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2295C12A" w14:textId="23ADD1DF" w:rsidR="00513852"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172241" w:history="1">
            <w:r w:rsidR="00513852" w:rsidRPr="00EC151C">
              <w:rPr>
                <w:rStyle w:val="Hyperlink"/>
                <w:noProof/>
              </w:rPr>
              <w:t>Statement</w:t>
            </w:r>
            <w:r w:rsidR="00513852">
              <w:rPr>
                <w:noProof/>
                <w:webHidden/>
              </w:rPr>
              <w:tab/>
            </w:r>
            <w:r w:rsidR="00513852">
              <w:rPr>
                <w:noProof/>
                <w:webHidden/>
              </w:rPr>
              <w:fldChar w:fldCharType="begin"/>
            </w:r>
            <w:r w:rsidR="00513852">
              <w:rPr>
                <w:noProof/>
                <w:webHidden/>
              </w:rPr>
              <w:instrText xml:space="preserve"> PAGEREF _Toc225172241 \h </w:instrText>
            </w:r>
            <w:r w:rsidR="00513852">
              <w:rPr>
                <w:noProof/>
                <w:webHidden/>
              </w:rPr>
            </w:r>
            <w:r w:rsidR="00513852">
              <w:rPr>
                <w:noProof/>
                <w:webHidden/>
              </w:rPr>
              <w:fldChar w:fldCharType="separate"/>
            </w:r>
            <w:r w:rsidR="00513852">
              <w:rPr>
                <w:noProof/>
                <w:webHidden/>
              </w:rPr>
              <w:t>2</w:t>
            </w:r>
            <w:r w:rsidR="00513852">
              <w:rPr>
                <w:noProof/>
                <w:webHidden/>
              </w:rPr>
              <w:fldChar w:fldCharType="end"/>
            </w:r>
          </w:hyperlink>
        </w:p>
        <w:p w14:paraId="66202087" w14:textId="1AD8180A" w:rsidR="00513852" w:rsidRDefault="0051385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2242" w:history="1">
            <w:r w:rsidRPr="00EC151C">
              <w:rPr>
                <w:rStyle w:val="Hyperlink"/>
                <w:noProof/>
              </w:rPr>
              <w:t>General Information</w:t>
            </w:r>
            <w:r>
              <w:rPr>
                <w:noProof/>
                <w:webHidden/>
              </w:rPr>
              <w:tab/>
            </w:r>
            <w:r>
              <w:rPr>
                <w:noProof/>
                <w:webHidden/>
              </w:rPr>
              <w:fldChar w:fldCharType="begin"/>
            </w:r>
            <w:r>
              <w:rPr>
                <w:noProof/>
                <w:webHidden/>
              </w:rPr>
              <w:instrText xml:space="preserve"> PAGEREF _Toc225172242 \h </w:instrText>
            </w:r>
            <w:r>
              <w:rPr>
                <w:noProof/>
                <w:webHidden/>
              </w:rPr>
            </w:r>
            <w:r>
              <w:rPr>
                <w:noProof/>
                <w:webHidden/>
              </w:rPr>
              <w:fldChar w:fldCharType="separate"/>
            </w:r>
            <w:r>
              <w:rPr>
                <w:noProof/>
                <w:webHidden/>
              </w:rPr>
              <w:t>2</w:t>
            </w:r>
            <w:r>
              <w:rPr>
                <w:noProof/>
                <w:webHidden/>
              </w:rPr>
              <w:fldChar w:fldCharType="end"/>
            </w:r>
          </w:hyperlink>
        </w:p>
        <w:p w14:paraId="798CC4B0" w14:textId="121FAC79" w:rsidR="00513852" w:rsidRDefault="0051385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2243" w:history="1">
            <w:r w:rsidRPr="00EC151C">
              <w:rPr>
                <w:rStyle w:val="Hyperlink"/>
                <w:noProof/>
              </w:rPr>
              <w:t>Purpose</w:t>
            </w:r>
            <w:r>
              <w:rPr>
                <w:noProof/>
                <w:webHidden/>
              </w:rPr>
              <w:tab/>
            </w:r>
            <w:r>
              <w:rPr>
                <w:noProof/>
                <w:webHidden/>
              </w:rPr>
              <w:fldChar w:fldCharType="begin"/>
            </w:r>
            <w:r>
              <w:rPr>
                <w:noProof/>
                <w:webHidden/>
              </w:rPr>
              <w:instrText xml:space="preserve"> PAGEREF _Toc225172243 \h </w:instrText>
            </w:r>
            <w:r>
              <w:rPr>
                <w:noProof/>
                <w:webHidden/>
              </w:rPr>
            </w:r>
            <w:r>
              <w:rPr>
                <w:noProof/>
                <w:webHidden/>
              </w:rPr>
              <w:fldChar w:fldCharType="separate"/>
            </w:r>
            <w:r>
              <w:rPr>
                <w:noProof/>
                <w:webHidden/>
              </w:rPr>
              <w:t>2</w:t>
            </w:r>
            <w:r>
              <w:rPr>
                <w:noProof/>
                <w:webHidden/>
              </w:rPr>
              <w:fldChar w:fldCharType="end"/>
            </w:r>
          </w:hyperlink>
        </w:p>
        <w:p w14:paraId="2862987D" w14:textId="7C1EC618" w:rsidR="00513852" w:rsidRDefault="0051385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2244" w:history="1">
            <w:r w:rsidRPr="00EC151C">
              <w:rPr>
                <w:rStyle w:val="Hyperlink"/>
                <w:noProof/>
              </w:rPr>
              <w:t>Scope</w:t>
            </w:r>
            <w:r>
              <w:rPr>
                <w:noProof/>
                <w:webHidden/>
              </w:rPr>
              <w:tab/>
            </w:r>
            <w:r>
              <w:rPr>
                <w:noProof/>
                <w:webHidden/>
              </w:rPr>
              <w:fldChar w:fldCharType="begin"/>
            </w:r>
            <w:r>
              <w:rPr>
                <w:noProof/>
                <w:webHidden/>
              </w:rPr>
              <w:instrText xml:space="preserve"> PAGEREF _Toc225172244 \h </w:instrText>
            </w:r>
            <w:r>
              <w:rPr>
                <w:noProof/>
                <w:webHidden/>
              </w:rPr>
            </w:r>
            <w:r>
              <w:rPr>
                <w:noProof/>
                <w:webHidden/>
              </w:rPr>
              <w:fldChar w:fldCharType="separate"/>
            </w:r>
            <w:r>
              <w:rPr>
                <w:noProof/>
                <w:webHidden/>
              </w:rPr>
              <w:t>2</w:t>
            </w:r>
            <w:r>
              <w:rPr>
                <w:noProof/>
                <w:webHidden/>
              </w:rPr>
              <w:fldChar w:fldCharType="end"/>
            </w:r>
          </w:hyperlink>
        </w:p>
        <w:p w14:paraId="6980B352" w14:textId="4B13B505" w:rsidR="00513852" w:rsidRDefault="00513852">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2245" w:history="1">
            <w:r w:rsidRPr="00EC151C">
              <w:rPr>
                <w:rStyle w:val="Hyperlink"/>
                <w:noProof/>
              </w:rPr>
              <w:t>INITIAL REVIEW CRITERIA</w:t>
            </w:r>
            <w:r>
              <w:rPr>
                <w:noProof/>
                <w:webHidden/>
              </w:rPr>
              <w:tab/>
            </w:r>
            <w:r>
              <w:rPr>
                <w:noProof/>
                <w:webHidden/>
              </w:rPr>
              <w:fldChar w:fldCharType="begin"/>
            </w:r>
            <w:r>
              <w:rPr>
                <w:noProof/>
                <w:webHidden/>
              </w:rPr>
              <w:instrText xml:space="preserve"> PAGEREF _Toc225172245 \h </w:instrText>
            </w:r>
            <w:r>
              <w:rPr>
                <w:noProof/>
                <w:webHidden/>
              </w:rPr>
            </w:r>
            <w:r>
              <w:rPr>
                <w:noProof/>
                <w:webHidden/>
              </w:rPr>
              <w:fldChar w:fldCharType="separate"/>
            </w:r>
            <w:r>
              <w:rPr>
                <w:noProof/>
                <w:webHidden/>
              </w:rPr>
              <w:t>2</w:t>
            </w:r>
            <w:r>
              <w:rPr>
                <w:noProof/>
                <w:webHidden/>
              </w:rPr>
              <w:fldChar w:fldCharType="end"/>
            </w:r>
          </w:hyperlink>
        </w:p>
        <w:p w14:paraId="096C4EAC" w14:textId="7C4BA331" w:rsidR="00513852" w:rsidRDefault="00513852">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2246" w:history="1">
            <w:r w:rsidRPr="00EC151C">
              <w:rPr>
                <w:rStyle w:val="Hyperlink"/>
                <w:noProof/>
              </w:rPr>
              <w:t>Reauthorization Criteria</w:t>
            </w:r>
            <w:r>
              <w:rPr>
                <w:noProof/>
                <w:webHidden/>
              </w:rPr>
              <w:tab/>
            </w:r>
            <w:r>
              <w:rPr>
                <w:noProof/>
                <w:webHidden/>
              </w:rPr>
              <w:fldChar w:fldCharType="begin"/>
            </w:r>
            <w:r>
              <w:rPr>
                <w:noProof/>
                <w:webHidden/>
              </w:rPr>
              <w:instrText xml:space="preserve"> PAGEREF _Toc225172246 \h </w:instrText>
            </w:r>
            <w:r>
              <w:rPr>
                <w:noProof/>
                <w:webHidden/>
              </w:rPr>
            </w:r>
            <w:r>
              <w:rPr>
                <w:noProof/>
                <w:webHidden/>
              </w:rPr>
              <w:fldChar w:fldCharType="separate"/>
            </w:r>
            <w:r>
              <w:rPr>
                <w:noProof/>
                <w:webHidden/>
              </w:rPr>
              <w:t>3</w:t>
            </w:r>
            <w:r>
              <w:rPr>
                <w:noProof/>
                <w:webHidden/>
              </w:rPr>
              <w:fldChar w:fldCharType="end"/>
            </w:r>
          </w:hyperlink>
        </w:p>
        <w:p w14:paraId="1B12D5F5" w14:textId="043D740A" w:rsidR="00513852" w:rsidRDefault="00513852">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2247" w:history="1">
            <w:r w:rsidRPr="00EC151C">
              <w:rPr>
                <w:rStyle w:val="Hyperlink"/>
                <w:noProof/>
              </w:rPr>
              <w:t>Approval Durations</w:t>
            </w:r>
            <w:r>
              <w:rPr>
                <w:noProof/>
                <w:webHidden/>
              </w:rPr>
              <w:tab/>
            </w:r>
            <w:r>
              <w:rPr>
                <w:noProof/>
                <w:webHidden/>
              </w:rPr>
              <w:fldChar w:fldCharType="begin"/>
            </w:r>
            <w:r>
              <w:rPr>
                <w:noProof/>
                <w:webHidden/>
              </w:rPr>
              <w:instrText xml:space="preserve"> PAGEREF _Toc225172247 \h </w:instrText>
            </w:r>
            <w:r>
              <w:rPr>
                <w:noProof/>
                <w:webHidden/>
              </w:rPr>
            </w:r>
            <w:r>
              <w:rPr>
                <w:noProof/>
                <w:webHidden/>
              </w:rPr>
              <w:fldChar w:fldCharType="separate"/>
            </w:r>
            <w:r>
              <w:rPr>
                <w:noProof/>
                <w:webHidden/>
              </w:rPr>
              <w:t>3</w:t>
            </w:r>
            <w:r>
              <w:rPr>
                <w:noProof/>
                <w:webHidden/>
              </w:rPr>
              <w:fldChar w:fldCharType="end"/>
            </w:r>
          </w:hyperlink>
        </w:p>
        <w:p w14:paraId="3CA6D7B2" w14:textId="4A679691" w:rsidR="00513852" w:rsidRDefault="00513852">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2248" w:history="1">
            <w:r w:rsidRPr="00EC151C">
              <w:rPr>
                <w:rStyle w:val="Hyperlink"/>
                <w:noProof/>
              </w:rPr>
              <w:t>Coding and Standards</w:t>
            </w:r>
            <w:r>
              <w:rPr>
                <w:noProof/>
                <w:webHidden/>
              </w:rPr>
              <w:tab/>
            </w:r>
            <w:r>
              <w:rPr>
                <w:noProof/>
                <w:webHidden/>
              </w:rPr>
              <w:fldChar w:fldCharType="begin"/>
            </w:r>
            <w:r>
              <w:rPr>
                <w:noProof/>
                <w:webHidden/>
              </w:rPr>
              <w:instrText xml:space="preserve"> PAGEREF _Toc225172248 \h </w:instrText>
            </w:r>
            <w:r>
              <w:rPr>
                <w:noProof/>
                <w:webHidden/>
              </w:rPr>
            </w:r>
            <w:r>
              <w:rPr>
                <w:noProof/>
                <w:webHidden/>
              </w:rPr>
              <w:fldChar w:fldCharType="separate"/>
            </w:r>
            <w:r>
              <w:rPr>
                <w:noProof/>
                <w:webHidden/>
              </w:rPr>
              <w:t>4</w:t>
            </w:r>
            <w:r>
              <w:rPr>
                <w:noProof/>
                <w:webHidden/>
              </w:rPr>
              <w:fldChar w:fldCharType="end"/>
            </w:r>
          </w:hyperlink>
        </w:p>
        <w:p w14:paraId="67AD8A46" w14:textId="6861DC1F" w:rsidR="00513852" w:rsidRDefault="0051385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2249" w:history="1">
            <w:r w:rsidRPr="00EC151C">
              <w:rPr>
                <w:rStyle w:val="Hyperlink"/>
                <w:noProof/>
              </w:rPr>
              <w:t>Codes</w:t>
            </w:r>
            <w:r>
              <w:rPr>
                <w:noProof/>
                <w:webHidden/>
              </w:rPr>
              <w:tab/>
            </w:r>
            <w:r>
              <w:rPr>
                <w:noProof/>
                <w:webHidden/>
              </w:rPr>
              <w:fldChar w:fldCharType="begin"/>
            </w:r>
            <w:r>
              <w:rPr>
                <w:noProof/>
                <w:webHidden/>
              </w:rPr>
              <w:instrText xml:space="preserve"> PAGEREF _Toc225172249 \h </w:instrText>
            </w:r>
            <w:r>
              <w:rPr>
                <w:noProof/>
                <w:webHidden/>
              </w:rPr>
            </w:r>
            <w:r>
              <w:rPr>
                <w:noProof/>
                <w:webHidden/>
              </w:rPr>
              <w:fldChar w:fldCharType="separate"/>
            </w:r>
            <w:r>
              <w:rPr>
                <w:noProof/>
                <w:webHidden/>
              </w:rPr>
              <w:t>4</w:t>
            </w:r>
            <w:r>
              <w:rPr>
                <w:noProof/>
                <w:webHidden/>
              </w:rPr>
              <w:fldChar w:fldCharType="end"/>
            </w:r>
          </w:hyperlink>
        </w:p>
        <w:p w14:paraId="079E8BA1" w14:textId="65E2FAF1" w:rsidR="00513852" w:rsidRDefault="0051385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2250" w:history="1">
            <w:r w:rsidRPr="00EC151C">
              <w:rPr>
                <w:rStyle w:val="Hyperlink"/>
                <w:noProof/>
              </w:rPr>
              <w:t>Applicable Lines of Business</w:t>
            </w:r>
            <w:r>
              <w:rPr>
                <w:noProof/>
                <w:webHidden/>
              </w:rPr>
              <w:tab/>
            </w:r>
            <w:r>
              <w:rPr>
                <w:noProof/>
                <w:webHidden/>
              </w:rPr>
              <w:fldChar w:fldCharType="begin"/>
            </w:r>
            <w:r>
              <w:rPr>
                <w:noProof/>
                <w:webHidden/>
              </w:rPr>
              <w:instrText xml:space="preserve"> PAGEREF _Toc225172250 \h </w:instrText>
            </w:r>
            <w:r>
              <w:rPr>
                <w:noProof/>
                <w:webHidden/>
              </w:rPr>
            </w:r>
            <w:r>
              <w:rPr>
                <w:noProof/>
                <w:webHidden/>
              </w:rPr>
              <w:fldChar w:fldCharType="separate"/>
            </w:r>
            <w:r>
              <w:rPr>
                <w:noProof/>
                <w:webHidden/>
              </w:rPr>
              <w:t>4</w:t>
            </w:r>
            <w:r>
              <w:rPr>
                <w:noProof/>
                <w:webHidden/>
              </w:rPr>
              <w:fldChar w:fldCharType="end"/>
            </w:r>
          </w:hyperlink>
        </w:p>
        <w:p w14:paraId="685F5E0D" w14:textId="58C22E37" w:rsidR="00513852" w:rsidRDefault="00513852">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2251" w:history="1">
            <w:r w:rsidRPr="00EC151C">
              <w:rPr>
                <w:rStyle w:val="Hyperlink"/>
                <w:noProof/>
              </w:rPr>
              <w:t>Background</w:t>
            </w:r>
            <w:r>
              <w:rPr>
                <w:noProof/>
                <w:webHidden/>
              </w:rPr>
              <w:tab/>
            </w:r>
            <w:r>
              <w:rPr>
                <w:noProof/>
                <w:webHidden/>
              </w:rPr>
              <w:fldChar w:fldCharType="begin"/>
            </w:r>
            <w:r>
              <w:rPr>
                <w:noProof/>
                <w:webHidden/>
              </w:rPr>
              <w:instrText xml:space="preserve"> PAGEREF _Toc225172251 \h </w:instrText>
            </w:r>
            <w:r>
              <w:rPr>
                <w:noProof/>
                <w:webHidden/>
              </w:rPr>
            </w:r>
            <w:r>
              <w:rPr>
                <w:noProof/>
                <w:webHidden/>
              </w:rPr>
              <w:fldChar w:fldCharType="separate"/>
            </w:r>
            <w:r>
              <w:rPr>
                <w:noProof/>
                <w:webHidden/>
              </w:rPr>
              <w:t>4</w:t>
            </w:r>
            <w:r>
              <w:rPr>
                <w:noProof/>
                <w:webHidden/>
              </w:rPr>
              <w:fldChar w:fldCharType="end"/>
            </w:r>
          </w:hyperlink>
        </w:p>
        <w:p w14:paraId="2DA80C43" w14:textId="71BFE20E" w:rsidR="00513852" w:rsidRDefault="00513852">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2252" w:history="1">
            <w:r w:rsidRPr="00EC151C">
              <w:rPr>
                <w:rStyle w:val="Hyperlink"/>
                <w:noProof/>
              </w:rPr>
              <w:t>Policy History</w:t>
            </w:r>
            <w:r>
              <w:rPr>
                <w:noProof/>
                <w:webHidden/>
              </w:rPr>
              <w:tab/>
            </w:r>
            <w:r>
              <w:rPr>
                <w:noProof/>
                <w:webHidden/>
              </w:rPr>
              <w:fldChar w:fldCharType="begin"/>
            </w:r>
            <w:r>
              <w:rPr>
                <w:noProof/>
                <w:webHidden/>
              </w:rPr>
              <w:instrText xml:space="preserve"> PAGEREF _Toc225172252 \h </w:instrText>
            </w:r>
            <w:r>
              <w:rPr>
                <w:noProof/>
                <w:webHidden/>
              </w:rPr>
            </w:r>
            <w:r>
              <w:rPr>
                <w:noProof/>
                <w:webHidden/>
              </w:rPr>
              <w:fldChar w:fldCharType="separate"/>
            </w:r>
            <w:r>
              <w:rPr>
                <w:noProof/>
                <w:webHidden/>
              </w:rPr>
              <w:t>4</w:t>
            </w:r>
            <w:r>
              <w:rPr>
                <w:noProof/>
                <w:webHidden/>
              </w:rPr>
              <w:fldChar w:fldCharType="end"/>
            </w:r>
          </w:hyperlink>
        </w:p>
        <w:p w14:paraId="22EB43A1" w14:textId="4068821F" w:rsidR="00513852" w:rsidRDefault="00513852">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2253" w:history="1">
            <w:r w:rsidRPr="00EC151C">
              <w:rPr>
                <w:rStyle w:val="Hyperlink"/>
                <w:noProof/>
              </w:rPr>
              <w:t>Legal and Compliance</w:t>
            </w:r>
            <w:r>
              <w:rPr>
                <w:noProof/>
                <w:webHidden/>
              </w:rPr>
              <w:tab/>
            </w:r>
            <w:r>
              <w:rPr>
                <w:noProof/>
                <w:webHidden/>
              </w:rPr>
              <w:fldChar w:fldCharType="begin"/>
            </w:r>
            <w:r>
              <w:rPr>
                <w:noProof/>
                <w:webHidden/>
              </w:rPr>
              <w:instrText xml:space="preserve"> PAGEREF _Toc225172253 \h </w:instrText>
            </w:r>
            <w:r>
              <w:rPr>
                <w:noProof/>
                <w:webHidden/>
              </w:rPr>
            </w:r>
            <w:r>
              <w:rPr>
                <w:noProof/>
                <w:webHidden/>
              </w:rPr>
              <w:fldChar w:fldCharType="separate"/>
            </w:r>
            <w:r>
              <w:rPr>
                <w:noProof/>
                <w:webHidden/>
              </w:rPr>
              <w:t>5</w:t>
            </w:r>
            <w:r>
              <w:rPr>
                <w:noProof/>
                <w:webHidden/>
              </w:rPr>
              <w:fldChar w:fldCharType="end"/>
            </w:r>
          </w:hyperlink>
        </w:p>
        <w:p w14:paraId="368E306F" w14:textId="413F8CC4" w:rsidR="00513852" w:rsidRDefault="0051385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2254" w:history="1">
            <w:r w:rsidRPr="00EC151C">
              <w:rPr>
                <w:rStyle w:val="Hyperlink"/>
                <w:noProof/>
              </w:rPr>
              <w:t>Guideline Approval</w:t>
            </w:r>
            <w:r>
              <w:rPr>
                <w:noProof/>
                <w:webHidden/>
              </w:rPr>
              <w:tab/>
            </w:r>
            <w:r>
              <w:rPr>
                <w:noProof/>
                <w:webHidden/>
              </w:rPr>
              <w:fldChar w:fldCharType="begin"/>
            </w:r>
            <w:r>
              <w:rPr>
                <w:noProof/>
                <w:webHidden/>
              </w:rPr>
              <w:instrText xml:space="preserve"> PAGEREF _Toc225172254 \h </w:instrText>
            </w:r>
            <w:r>
              <w:rPr>
                <w:noProof/>
                <w:webHidden/>
              </w:rPr>
            </w:r>
            <w:r>
              <w:rPr>
                <w:noProof/>
                <w:webHidden/>
              </w:rPr>
              <w:fldChar w:fldCharType="separate"/>
            </w:r>
            <w:r>
              <w:rPr>
                <w:noProof/>
                <w:webHidden/>
              </w:rPr>
              <w:t>5</w:t>
            </w:r>
            <w:r>
              <w:rPr>
                <w:noProof/>
                <w:webHidden/>
              </w:rPr>
              <w:fldChar w:fldCharType="end"/>
            </w:r>
          </w:hyperlink>
        </w:p>
        <w:p w14:paraId="07E4EDF7" w14:textId="54619818" w:rsidR="00513852" w:rsidRDefault="00513852">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172255" w:history="1">
            <w:r w:rsidRPr="00EC151C">
              <w:rPr>
                <w:rStyle w:val="Hyperlink"/>
                <w:noProof/>
              </w:rPr>
              <w:t>Committee</w:t>
            </w:r>
            <w:r>
              <w:rPr>
                <w:noProof/>
                <w:webHidden/>
              </w:rPr>
              <w:tab/>
            </w:r>
            <w:r>
              <w:rPr>
                <w:noProof/>
                <w:webHidden/>
              </w:rPr>
              <w:fldChar w:fldCharType="begin"/>
            </w:r>
            <w:r>
              <w:rPr>
                <w:noProof/>
                <w:webHidden/>
              </w:rPr>
              <w:instrText xml:space="preserve"> PAGEREF _Toc225172255 \h </w:instrText>
            </w:r>
            <w:r>
              <w:rPr>
                <w:noProof/>
                <w:webHidden/>
              </w:rPr>
            </w:r>
            <w:r>
              <w:rPr>
                <w:noProof/>
                <w:webHidden/>
              </w:rPr>
              <w:fldChar w:fldCharType="separate"/>
            </w:r>
            <w:r>
              <w:rPr>
                <w:noProof/>
                <w:webHidden/>
              </w:rPr>
              <w:t>5</w:t>
            </w:r>
            <w:r>
              <w:rPr>
                <w:noProof/>
                <w:webHidden/>
              </w:rPr>
              <w:fldChar w:fldCharType="end"/>
            </w:r>
          </w:hyperlink>
        </w:p>
        <w:p w14:paraId="7489D5D3" w14:textId="17671B8C" w:rsidR="00513852" w:rsidRDefault="00513852">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2256" w:history="1">
            <w:r w:rsidRPr="00EC151C">
              <w:rPr>
                <w:rStyle w:val="Hyperlink"/>
                <w:noProof/>
              </w:rPr>
              <w:t>Disclaimer</w:t>
            </w:r>
            <w:r>
              <w:rPr>
                <w:noProof/>
                <w:webHidden/>
              </w:rPr>
              <w:tab/>
            </w:r>
            <w:r>
              <w:rPr>
                <w:noProof/>
                <w:webHidden/>
              </w:rPr>
              <w:fldChar w:fldCharType="begin"/>
            </w:r>
            <w:r>
              <w:rPr>
                <w:noProof/>
                <w:webHidden/>
              </w:rPr>
              <w:instrText xml:space="preserve"> PAGEREF _Toc225172256 \h </w:instrText>
            </w:r>
            <w:r>
              <w:rPr>
                <w:noProof/>
                <w:webHidden/>
              </w:rPr>
            </w:r>
            <w:r>
              <w:rPr>
                <w:noProof/>
                <w:webHidden/>
              </w:rPr>
              <w:fldChar w:fldCharType="separate"/>
            </w:r>
            <w:r>
              <w:rPr>
                <w:noProof/>
                <w:webHidden/>
              </w:rPr>
              <w:t>5</w:t>
            </w:r>
            <w:r>
              <w:rPr>
                <w:noProof/>
                <w:webHidden/>
              </w:rPr>
              <w:fldChar w:fldCharType="end"/>
            </w:r>
          </w:hyperlink>
        </w:p>
        <w:p w14:paraId="66DCE939" w14:textId="19B401ED" w:rsidR="00513852" w:rsidRDefault="00513852">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2257" w:history="1">
            <w:r w:rsidRPr="00EC151C">
              <w:rPr>
                <w:rStyle w:val="Hyperlink"/>
                <w:noProof/>
              </w:rPr>
              <w:t>References</w:t>
            </w:r>
            <w:r>
              <w:rPr>
                <w:noProof/>
                <w:webHidden/>
              </w:rPr>
              <w:tab/>
            </w:r>
            <w:r>
              <w:rPr>
                <w:noProof/>
                <w:webHidden/>
              </w:rPr>
              <w:fldChar w:fldCharType="begin"/>
            </w:r>
            <w:r>
              <w:rPr>
                <w:noProof/>
                <w:webHidden/>
              </w:rPr>
              <w:instrText xml:space="preserve"> PAGEREF _Toc225172257 \h </w:instrText>
            </w:r>
            <w:r>
              <w:rPr>
                <w:noProof/>
                <w:webHidden/>
              </w:rPr>
            </w:r>
            <w:r>
              <w:rPr>
                <w:noProof/>
                <w:webHidden/>
              </w:rPr>
              <w:fldChar w:fldCharType="separate"/>
            </w:r>
            <w:r>
              <w:rPr>
                <w:noProof/>
                <w:webHidden/>
              </w:rPr>
              <w:t>6</w:t>
            </w:r>
            <w:r>
              <w:rPr>
                <w:noProof/>
                <w:webHidden/>
              </w:rPr>
              <w:fldChar w:fldCharType="end"/>
            </w:r>
          </w:hyperlink>
        </w:p>
        <w:p w14:paraId="1A51577D" w14:textId="43EC2D5D"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172241"/>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172242"/>
      <w:r>
        <w:t>General Information</w:t>
      </w:r>
      <w:bookmarkEnd w:id="2"/>
      <w:bookmarkEnd w:id="3"/>
    </w:p>
    <w:p w14:paraId="08B7F753" w14:textId="4BEDAEF7" w:rsidR="00542876" w:rsidRDefault="00542876" w:rsidP="00AC00FB">
      <w:pPr>
        <w:pStyle w:val="paragraph"/>
        <w:numPr>
          <w:ilvl w:val="0"/>
          <w:numId w:val="34"/>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245274FC" w14:textId="77777777" w:rsidR="00542876" w:rsidRDefault="00542876" w:rsidP="00AC00FB">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If the established criteria are not met, the request is referred to a Medical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172243"/>
      <w:r>
        <w:t>Purpose</w:t>
      </w:r>
      <w:bookmarkEnd w:id="4"/>
      <w:bookmarkEnd w:id="5"/>
    </w:p>
    <w:p w14:paraId="01CC9B8E" w14:textId="6AE1CFB4"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w:t>
      </w:r>
      <w:r w:rsidR="001350EC">
        <w:rPr>
          <w:color w:val="000000" w:themeColor="text1"/>
        </w:rPr>
        <w:t xml:space="preserve"> </w:t>
      </w:r>
      <w:r w:rsidRPr="7A2049BD">
        <w:rPr>
          <w:color w:val="000000" w:themeColor="text1"/>
        </w:rPr>
        <w:t xml:space="preserve">process for the following drug </w:t>
      </w:r>
      <w:r w:rsidR="00D03EF8">
        <w:rPr>
          <w:color w:val="000000" w:themeColor="text1"/>
        </w:rPr>
        <w:t>Evkeeza (evinacumab-dgnb)</w:t>
      </w:r>
      <w:r w:rsidRPr="7A2049BD">
        <w:rPr>
          <w:color w:val="000000" w:themeColor="text1"/>
        </w:rPr>
        <w:t>.</w:t>
      </w:r>
    </w:p>
    <w:p w14:paraId="50F6E761" w14:textId="77777777" w:rsidR="00E768E6" w:rsidRDefault="00B21AF9">
      <w:pPr>
        <w:pStyle w:val="Heading2"/>
      </w:pPr>
      <w:bookmarkStart w:id="7" w:name="_Toc225172244"/>
      <w:r>
        <w:t>Scope</w:t>
      </w:r>
      <w:bookmarkEnd w:id="6"/>
      <w:bookmarkEnd w:id="7"/>
    </w:p>
    <w:p w14:paraId="0C5475CC" w14:textId="77777777"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5172245"/>
      <w:bookmarkEnd w:id="8"/>
      <w:r>
        <w:t>I</w:t>
      </w:r>
      <w:bookmarkEnd w:id="9"/>
      <w:r w:rsidR="008541B7">
        <w:t>NITIAL REVIEW CRITERIA</w:t>
      </w:r>
      <w:bookmarkEnd w:id="10"/>
    </w:p>
    <w:p w14:paraId="3F454FFE" w14:textId="54E8CFE7" w:rsidR="002B581F" w:rsidRDefault="002B581F" w:rsidP="008C30FC">
      <w:r>
        <w:rPr>
          <w:color w:val="000000"/>
        </w:rPr>
        <w:t xml:space="preserve">The request must meet all of the criteria listed below. </w:t>
      </w:r>
      <w:bookmarkStart w:id="11" w:name="59e66837-f347-4cba-ad06-9c8898541074"/>
    </w:p>
    <w:p w14:paraId="771EB1FD" w14:textId="7DEC28AB" w:rsidR="00D03EF8" w:rsidRPr="008C30FC" w:rsidRDefault="00D03EF8" w:rsidP="008C30FC">
      <w:pPr>
        <w:pStyle w:val="ListParagraph"/>
        <w:numPr>
          <w:ilvl w:val="0"/>
          <w:numId w:val="35"/>
        </w:numPr>
      </w:pPr>
      <w:r w:rsidRPr="008C30FC">
        <w:t>Must be age 1 or older</w:t>
      </w:r>
    </w:p>
    <w:p w14:paraId="6F9F2CB2" w14:textId="670E1E2F" w:rsidR="00D03EF8" w:rsidRPr="008C30FC" w:rsidRDefault="00D03EF8" w:rsidP="008C30FC">
      <w:pPr>
        <w:pStyle w:val="ListParagraph"/>
        <w:numPr>
          <w:ilvl w:val="0"/>
          <w:numId w:val="35"/>
        </w:numPr>
      </w:pPr>
      <w:r w:rsidRPr="008C30FC">
        <w:t xml:space="preserve">Must be prescribed by, </w:t>
      </w:r>
      <w:proofErr w:type="gramStart"/>
      <w:r w:rsidRPr="008C30FC">
        <w:t>or in</w:t>
      </w:r>
      <w:proofErr w:type="gramEnd"/>
      <w:r w:rsidRPr="008C30FC">
        <w:t xml:space="preserve"> consultation with, a clinical lipidologist</w:t>
      </w:r>
    </w:p>
    <w:p w14:paraId="4882972F" w14:textId="2DB6549C" w:rsidR="00D03EF8" w:rsidRPr="008C30FC" w:rsidRDefault="00D03EF8" w:rsidP="008C30FC">
      <w:pPr>
        <w:pStyle w:val="ListParagraph"/>
        <w:numPr>
          <w:ilvl w:val="0"/>
          <w:numId w:val="35"/>
        </w:numPr>
      </w:pPr>
      <w:r w:rsidRPr="008C30FC">
        <w:t>Must have a diagnosis of homozygous familial hypercholesterolemia as confirmed by genetic testing OR a clinical diagnosis defined as ONE of the four following scenarios:</w:t>
      </w:r>
    </w:p>
    <w:p w14:paraId="54EEBCEA" w14:textId="77777777" w:rsidR="00D03EF8" w:rsidRPr="003238CC" w:rsidRDefault="00D03EF8" w:rsidP="003238CC">
      <w:pPr>
        <w:pStyle w:val="ListParagraph"/>
        <w:numPr>
          <w:ilvl w:val="1"/>
          <w:numId w:val="30"/>
        </w:numPr>
        <w:ind w:left="1080"/>
        <w:rPr>
          <w:color w:val="000000" w:themeColor="text1"/>
        </w:rPr>
      </w:pPr>
      <w:r w:rsidRPr="003238CC">
        <w:rPr>
          <w:color w:val="000000" w:themeColor="text1"/>
        </w:rPr>
        <w:t>Documented functional mutation(s) in both LDL receptor alleles or alleles known to affect LDL receptor functionality</w:t>
      </w:r>
    </w:p>
    <w:p w14:paraId="65D24ADA" w14:textId="77777777" w:rsidR="00D03EF8" w:rsidRPr="003238CC" w:rsidRDefault="00D03EF8" w:rsidP="003238CC">
      <w:pPr>
        <w:pStyle w:val="ListParagraph"/>
        <w:numPr>
          <w:ilvl w:val="1"/>
          <w:numId w:val="30"/>
        </w:numPr>
        <w:ind w:left="1080"/>
        <w:rPr>
          <w:color w:val="000000" w:themeColor="text1"/>
        </w:rPr>
      </w:pPr>
      <w:r w:rsidRPr="003238CC">
        <w:rPr>
          <w:color w:val="000000" w:themeColor="text1"/>
        </w:rPr>
        <w:t>Untreated total cholesterol (TC) &gt;500mg/dL and triglycerides (TG) &lt;300mg/dL and have both parents with untreated TC &gt;250mg/dL and LDL-C level &gt;500mg/dL</w:t>
      </w:r>
    </w:p>
    <w:p w14:paraId="4F8E71F9" w14:textId="77777777" w:rsidR="00D03EF8" w:rsidRPr="003238CC" w:rsidRDefault="00D03EF8" w:rsidP="003238CC">
      <w:pPr>
        <w:pStyle w:val="ListParagraph"/>
        <w:numPr>
          <w:ilvl w:val="1"/>
          <w:numId w:val="30"/>
        </w:numPr>
        <w:ind w:left="1080"/>
        <w:rPr>
          <w:color w:val="000000" w:themeColor="text1"/>
        </w:rPr>
      </w:pPr>
      <w:r w:rsidRPr="003238CC">
        <w:rPr>
          <w:color w:val="000000" w:themeColor="text1"/>
        </w:rPr>
        <w:t>Untreated TC &gt;500mg/dL and TG &lt;300mg/dL and have both parents with untreated TC &gt;250mg/dL and ONE of the following:</w:t>
      </w:r>
    </w:p>
    <w:p w14:paraId="26B74310" w14:textId="77777777" w:rsidR="00D03EF8" w:rsidRPr="00D03EF8" w:rsidRDefault="00D03EF8" w:rsidP="003238CC">
      <w:pPr>
        <w:pStyle w:val="ListParagraph"/>
        <w:numPr>
          <w:ilvl w:val="2"/>
          <w:numId w:val="30"/>
        </w:numPr>
        <w:ind w:left="1440"/>
        <w:rPr>
          <w:color w:val="000000"/>
        </w:rPr>
      </w:pPr>
      <w:r w:rsidRPr="00D03EF8">
        <w:rPr>
          <w:color w:val="000000"/>
        </w:rPr>
        <w:t>Skin fibroblast LDL receptor activity &lt;20% normal</w:t>
      </w:r>
    </w:p>
    <w:p w14:paraId="5F947BFA" w14:textId="77777777" w:rsidR="00D03EF8" w:rsidRPr="00D03EF8" w:rsidRDefault="00D03EF8" w:rsidP="003238CC">
      <w:pPr>
        <w:pStyle w:val="ListParagraph"/>
        <w:numPr>
          <w:ilvl w:val="2"/>
          <w:numId w:val="30"/>
        </w:numPr>
        <w:ind w:left="1440"/>
        <w:rPr>
          <w:color w:val="000000"/>
        </w:rPr>
      </w:pPr>
      <w:r w:rsidRPr="00D03EF8">
        <w:rPr>
          <w:color w:val="000000"/>
        </w:rPr>
        <w:t>Presence of cutaneous and tendon xanthomas and corneal arcus in the first decade of life</w:t>
      </w:r>
    </w:p>
    <w:p w14:paraId="5E650461" w14:textId="77777777" w:rsidR="00D03EF8" w:rsidRPr="003238CC" w:rsidRDefault="00D03EF8" w:rsidP="003238CC">
      <w:pPr>
        <w:pStyle w:val="ListParagraph"/>
        <w:numPr>
          <w:ilvl w:val="1"/>
          <w:numId w:val="30"/>
        </w:numPr>
        <w:ind w:left="1080"/>
        <w:rPr>
          <w:color w:val="000000" w:themeColor="text1"/>
        </w:rPr>
      </w:pPr>
      <w:r w:rsidRPr="003238CC">
        <w:rPr>
          <w:color w:val="000000" w:themeColor="text1"/>
        </w:rPr>
        <w:t>Untreated LDL-C level &gt;500mg/dL and ONE of the following:</w:t>
      </w:r>
    </w:p>
    <w:p w14:paraId="6465DFEB" w14:textId="77777777" w:rsidR="00D03EF8" w:rsidRPr="00D03EF8" w:rsidRDefault="00D03EF8" w:rsidP="003238CC">
      <w:pPr>
        <w:pStyle w:val="ListParagraph"/>
        <w:numPr>
          <w:ilvl w:val="2"/>
          <w:numId w:val="30"/>
        </w:numPr>
        <w:ind w:left="1440"/>
        <w:rPr>
          <w:color w:val="000000"/>
        </w:rPr>
      </w:pPr>
      <w:r w:rsidRPr="00D03EF8">
        <w:rPr>
          <w:color w:val="000000"/>
        </w:rPr>
        <w:t>Skin fibroblast LDL receptor activity &lt;20% normal</w:t>
      </w:r>
    </w:p>
    <w:p w14:paraId="334C1CAE" w14:textId="77777777" w:rsidR="00D03EF8" w:rsidRPr="00D03EF8" w:rsidRDefault="00D03EF8" w:rsidP="003238CC">
      <w:pPr>
        <w:pStyle w:val="ListParagraph"/>
        <w:numPr>
          <w:ilvl w:val="2"/>
          <w:numId w:val="30"/>
        </w:numPr>
        <w:ind w:left="1440"/>
        <w:rPr>
          <w:color w:val="000000"/>
        </w:rPr>
      </w:pPr>
      <w:r w:rsidRPr="00D03EF8">
        <w:rPr>
          <w:color w:val="000000"/>
        </w:rPr>
        <w:t xml:space="preserve">Presence of cutaneous and tendon xanthomas and corneal arcus in the first </w:t>
      </w:r>
      <w:r w:rsidRPr="00D03EF8">
        <w:rPr>
          <w:color w:val="000000"/>
        </w:rPr>
        <w:lastRenderedPageBreak/>
        <w:t>decade of life</w:t>
      </w:r>
    </w:p>
    <w:p w14:paraId="09F4FEAE" w14:textId="77777777" w:rsidR="00D03EF8" w:rsidRPr="008C30FC" w:rsidRDefault="00D03EF8" w:rsidP="008C30FC">
      <w:pPr>
        <w:pStyle w:val="ListParagraph"/>
        <w:numPr>
          <w:ilvl w:val="0"/>
          <w:numId w:val="35"/>
        </w:numPr>
      </w:pPr>
      <w:r w:rsidRPr="008C30FC">
        <w:t>Must be on at least TWO LDL-lowering medications from different classes (e.g., statins, nicotinic acid, ezetimibe)</w:t>
      </w:r>
    </w:p>
    <w:p w14:paraId="16DB06EC" w14:textId="62DE1D56" w:rsidR="00D03EF8" w:rsidRPr="003238CC" w:rsidRDefault="00D03EF8" w:rsidP="003238CC">
      <w:pPr>
        <w:pStyle w:val="ListParagraph"/>
        <w:numPr>
          <w:ilvl w:val="1"/>
          <w:numId w:val="30"/>
        </w:numPr>
        <w:ind w:left="1080"/>
        <w:rPr>
          <w:color w:val="000000" w:themeColor="text1"/>
        </w:rPr>
      </w:pPr>
      <w:r w:rsidRPr="003238CC">
        <w:rPr>
          <w:color w:val="000000" w:themeColor="text1"/>
        </w:rPr>
        <w:t xml:space="preserve">One of these medications must be an HMG-CoA </w:t>
      </w:r>
      <w:r w:rsidR="00B408A5">
        <w:rPr>
          <w:color w:val="000000" w:themeColor="text1"/>
        </w:rPr>
        <w:t>r</w:t>
      </w:r>
      <w:r w:rsidRPr="003238CC">
        <w:rPr>
          <w:color w:val="000000" w:themeColor="text1"/>
        </w:rPr>
        <w:t xml:space="preserve">eductase </w:t>
      </w:r>
      <w:r w:rsidR="00B408A5">
        <w:rPr>
          <w:color w:val="000000" w:themeColor="text1"/>
        </w:rPr>
        <w:t>i</w:t>
      </w:r>
      <w:r w:rsidRPr="003238CC">
        <w:rPr>
          <w:color w:val="000000" w:themeColor="text1"/>
        </w:rPr>
        <w:t>nhibitor</w:t>
      </w:r>
      <w:r w:rsidR="00B408A5">
        <w:rPr>
          <w:color w:val="000000" w:themeColor="text1"/>
        </w:rPr>
        <w:t>,</w:t>
      </w:r>
      <w:r w:rsidRPr="003238CC">
        <w:rPr>
          <w:color w:val="000000" w:themeColor="text1"/>
        </w:rPr>
        <w:t xml:space="preserve"> unless contraindicated or intolerant</w:t>
      </w:r>
    </w:p>
    <w:p w14:paraId="6BA53791" w14:textId="7C19DF01" w:rsidR="00D03EF8" w:rsidRPr="008C30FC" w:rsidRDefault="00D03EF8" w:rsidP="008C30FC">
      <w:pPr>
        <w:pStyle w:val="ListParagraph"/>
        <w:numPr>
          <w:ilvl w:val="0"/>
          <w:numId w:val="35"/>
        </w:numPr>
      </w:pPr>
      <w:r w:rsidRPr="008C30FC">
        <w:t xml:space="preserve">Must have an adequate trial (of at least </w:t>
      </w:r>
      <w:r w:rsidR="00B408A5">
        <w:t>three</w:t>
      </w:r>
      <w:r w:rsidRPr="008C30FC">
        <w:t xml:space="preserve"> months) of </w:t>
      </w:r>
      <w:proofErr w:type="spellStart"/>
      <w:r w:rsidRPr="008C30FC">
        <w:t>Praluent</w:t>
      </w:r>
      <w:proofErr w:type="spellEnd"/>
      <w:r w:rsidRPr="008C30FC">
        <w:t xml:space="preserve"> (</w:t>
      </w:r>
      <w:r w:rsidR="00B408A5">
        <w:t xml:space="preserve">age </w:t>
      </w:r>
      <w:r w:rsidRPr="008C30FC">
        <w:t>18 and older) or Repatha (</w:t>
      </w:r>
      <w:r w:rsidR="00B408A5">
        <w:t xml:space="preserve">age </w:t>
      </w:r>
      <w:r w:rsidRPr="008C30FC">
        <w:t>1</w:t>
      </w:r>
      <w:r w:rsidR="001350EC">
        <w:t>0</w:t>
      </w:r>
      <w:r w:rsidRPr="008C30FC">
        <w:t xml:space="preserve"> and older) with an inadequate response or significant side effects/toxicity or have a contraindication to therapy</w:t>
      </w:r>
    </w:p>
    <w:p w14:paraId="3C51997B" w14:textId="77777777" w:rsidR="00D03EF8" w:rsidRPr="008C30FC" w:rsidRDefault="00D03EF8" w:rsidP="008C30FC">
      <w:pPr>
        <w:pStyle w:val="ListParagraph"/>
        <w:numPr>
          <w:ilvl w:val="0"/>
          <w:numId w:val="35"/>
        </w:numPr>
      </w:pPr>
      <w:r w:rsidRPr="008C30FC">
        <w:t>Must have the following baseline tests (within one month of initiation and dates of tests must be provided):</w:t>
      </w:r>
    </w:p>
    <w:p w14:paraId="2179DB6D" w14:textId="1A265002" w:rsidR="00D03EF8" w:rsidRPr="003238CC" w:rsidRDefault="00D03EF8" w:rsidP="003238CC">
      <w:pPr>
        <w:pStyle w:val="ListParagraph"/>
        <w:numPr>
          <w:ilvl w:val="1"/>
          <w:numId w:val="30"/>
        </w:numPr>
        <w:ind w:left="1080"/>
        <w:rPr>
          <w:color w:val="000000" w:themeColor="text1"/>
        </w:rPr>
      </w:pPr>
      <w:r w:rsidRPr="003238CC">
        <w:rPr>
          <w:color w:val="000000" w:themeColor="text1"/>
        </w:rPr>
        <w:t>For females of reproductive potential:</w:t>
      </w:r>
    </w:p>
    <w:p w14:paraId="5AE3B2F9" w14:textId="77777777" w:rsidR="00D03EF8" w:rsidRPr="00D03EF8" w:rsidRDefault="00D03EF8" w:rsidP="003238CC">
      <w:pPr>
        <w:pStyle w:val="ListParagraph"/>
        <w:numPr>
          <w:ilvl w:val="2"/>
          <w:numId w:val="30"/>
        </w:numPr>
        <w:ind w:left="1440"/>
        <w:rPr>
          <w:color w:val="000000"/>
        </w:rPr>
      </w:pPr>
      <w:r w:rsidRPr="00D03EF8">
        <w:rPr>
          <w:color w:val="000000"/>
        </w:rPr>
        <w:t>Must have a negative pregnancy test prior to starting Evkeeza</w:t>
      </w:r>
    </w:p>
    <w:p w14:paraId="5638FBF1" w14:textId="77777777" w:rsidR="00D03EF8" w:rsidRDefault="00D03EF8" w:rsidP="003238CC">
      <w:pPr>
        <w:pStyle w:val="ListParagraph"/>
        <w:numPr>
          <w:ilvl w:val="2"/>
          <w:numId w:val="30"/>
        </w:numPr>
        <w:ind w:left="1440"/>
        <w:rPr>
          <w:color w:val="000000"/>
        </w:rPr>
      </w:pPr>
      <w:r w:rsidRPr="00D03EF8">
        <w:rPr>
          <w:color w:val="000000"/>
        </w:rPr>
        <w:t>Must be using effective contraception</w:t>
      </w:r>
    </w:p>
    <w:p w14:paraId="7EE43EB2" w14:textId="625567D6" w:rsidR="00E84F62" w:rsidRDefault="00D03EF8" w:rsidP="00E84F62">
      <w:pPr>
        <w:pStyle w:val="ListParagraph"/>
        <w:numPr>
          <w:ilvl w:val="1"/>
          <w:numId w:val="30"/>
        </w:numPr>
        <w:ind w:left="1080"/>
        <w:rPr>
          <w:color w:val="000000"/>
        </w:rPr>
      </w:pPr>
      <w:r w:rsidRPr="00D03EF8">
        <w:rPr>
          <w:color w:val="000000"/>
        </w:rPr>
        <w:t xml:space="preserve">LDL-C </w:t>
      </w:r>
      <w:bookmarkEnd w:id="11"/>
    </w:p>
    <w:p w14:paraId="44D910FA" w14:textId="6161E19D" w:rsidR="00E84F62" w:rsidRPr="00E84F62" w:rsidRDefault="00E84F62" w:rsidP="00E37E70">
      <w:pPr>
        <w:pStyle w:val="ListParagraph"/>
        <w:numPr>
          <w:ilvl w:val="0"/>
          <w:numId w:val="35"/>
        </w:numPr>
      </w:pPr>
      <w:r w:rsidRPr="00E84F62">
        <w:t>Must be prescribed at a dose within the manufacturer’s dosing guidelines (based on diagnosis, weight, etc.) listed in the FDA</w:t>
      </w:r>
      <w:r w:rsidR="00B408A5">
        <w:t>-</w:t>
      </w:r>
      <w:r w:rsidRPr="00E84F62">
        <w:t>approved labeling</w:t>
      </w:r>
    </w:p>
    <w:p w14:paraId="50F6E848" w14:textId="2A2B7532" w:rsidR="00E768E6" w:rsidRPr="00121D1A" w:rsidRDefault="002B581F" w:rsidP="00A03DEC">
      <w:pPr>
        <w:pStyle w:val="Heading1"/>
      </w:pPr>
      <w:bookmarkStart w:id="12" w:name="_Toc225172246"/>
      <w:r>
        <w:t>R</w:t>
      </w:r>
      <w:r w:rsidR="00903D20">
        <w:t>e</w:t>
      </w:r>
      <w:r>
        <w:t>authorization Criteria</w:t>
      </w:r>
      <w:bookmarkEnd w:id="12"/>
    </w:p>
    <w:p w14:paraId="5278A52A" w14:textId="41CA2951" w:rsidR="00D26775" w:rsidRDefault="0088160A" w:rsidP="00223BDE">
      <w:pPr>
        <w:spacing w:line="276" w:lineRule="auto"/>
        <w:rPr>
          <w:color w:val="000000"/>
        </w:rPr>
      </w:pPr>
      <w:bookmarkStart w:id="13" w:name="bf411eb6-39fd-4766-b04d-3f0de901e5e4"/>
      <w:r w:rsidRPr="009C317B">
        <w:rPr>
          <w:color w:val="000000"/>
        </w:rPr>
        <w:t>All prior authorization renewals are reviewed on an annual basis to determine the Medical Necessity for continuation of therapy</w:t>
      </w:r>
      <w:r>
        <w:rPr>
          <w:color w:val="000000"/>
        </w:rPr>
        <w:t xml:space="preserve">. </w:t>
      </w:r>
      <w:r w:rsidR="00D26775">
        <w:rPr>
          <w:color w:val="000000"/>
        </w:rPr>
        <w:t>The request must meet all of the criteria listed below.</w:t>
      </w:r>
    </w:p>
    <w:p w14:paraId="42B15099" w14:textId="698825FC" w:rsidR="00223BDE" w:rsidRPr="00E37E70" w:rsidRDefault="00D26775" w:rsidP="00D26775">
      <w:pPr>
        <w:pStyle w:val="ListParagraph"/>
        <w:numPr>
          <w:ilvl w:val="0"/>
          <w:numId w:val="36"/>
        </w:numPr>
        <w:spacing w:line="276" w:lineRule="auto"/>
        <w:rPr>
          <w:rFonts w:cstheme="minorHAnsi"/>
          <w:sz w:val="24"/>
        </w:rPr>
      </w:pPr>
      <w:r>
        <w:rPr>
          <w:rFonts w:cstheme="minorHAnsi"/>
          <w:szCs w:val="20"/>
        </w:rPr>
        <w:t xml:space="preserve">Chart note </w:t>
      </w:r>
      <w:r w:rsidR="00223BDE" w:rsidRPr="00D26775">
        <w:rPr>
          <w:rFonts w:cstheme="minorHAnsi"/>
          <w:szCs w:val="20"/>
        </w:rPr>
        <w:t xml:space="preserve">documentation </w:t>
      </w:r>
      <w:r>
        <w:rPr>
          <w:rFonts w:cstheme="minorHAnsi"/>
          <w:szCs w:val="20"/>
        </w:rPr>
        <w:t>showing a</w:t>
      </w:r>
      <w:r w:rsidR="00223BDE" w:rsidRPr="00D26775">
        <w:rPr>
          <w:rFonts w:cstheme="minorHAnsi"/>
          <w:szCs w:val="20"/>
        </w:rPr>
        <w:t xml:space="preserve"> reduction in LDL levels from baseline</w:t>
      </w:r>
    </w:p>
    <w:p w14:paraId="7EFED8D7" w14:textId="089930E6" w:rsidR="00E84F62" w:rsidRPr="00E84F62" w:rsidRDefault="00E84F62" w:rsidP="00E37E70">
      <w:pPr>
        <w:pStyle w:val="ListParagraph"/>
        <w:numPr>
          <w:ilvl w:val="0"/>
          <w:numId w:val="36"/>
        </w:numPr>
      </w:pPr>
      <w:r w:rsidRPr="00E84F62">
        <w:t>Must be prescribed at a dose within the manufacturer’s dosing guidelines (based on diagnosis, weight, etc.) listed in the FDA</w:t>
      </w:r>
      <w:r w:rsidR="00054F9D">
        <w:t>-</w:t>
      </w:r>
      <w:r w:rsidRPr="00E84F62">
        <w:t>approved labeling</w:t>
      </w:r>
    </w:p>
    <w:p w14:paraId="27CDA761" w14:textId="77777777" w:rsidR="00B04EC0" w:rsidRPr="00121D1A" w:rsidRDefault="00B04EC0" w:rsidP="00B04EC0">
      <w:pPr>
        <w:pStyle w:val="Heading1"/>
      </w:pPr>
      <w:bookmarkStart w:id="14" w:name="_Toc189906977"/>
      <w:bookmarkStart w:id="15" w:name="_Toc225172247"/>
      <w:r>
        <w:t>Approval Durations</w:t>
      </w:r>
      <w:bookmarkEnd w:id="14"/>
      <w:bookmarkEnd w:id="15"/>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324FA8C0" w14:textId="74D49E20" w:rsidR="00886909" w:rsidRPr="00962841" w:rsidRDefault="00223BDE" w:rsidP="00886909">
            <w:pPr>
              <w:pStyle w:val="In-TextTable"/>
            </w:pPr>
            <w:r>
              <w:t xml:space="preserve">Up to </w:t>
            </w:r>
            <w:r w:rsidR="00AA1CDF">
              <w:t>one</w:t>
            </w:r>
            <w:r>
              <w:t xml:space="preserve"> year</w:t>
            </w: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3A2398A5" w:rsidR="00B04EC0" w:rsidRPr="00962841" w:rsidRDefault="00223BDE" w:rsidP="00E37E70">
            <w:pPr>
              <w:pStyle w:val="In-TextTable"/>
            </w:pPr>
            <w:r>
              <w:t>Same as initial</w:t>
            </w:r>
          </w:p>
        </w:tc>
      </w:tr>
    </w:tbl>
    <w:p w14:paraId="50F6E878" w14:textId="2A55145C" w:rsidR="00E768E6" w:rsidRDefault="00B21AF9" w:rsidP="00AC00FB">
      <w:pPr>
        <w:pStyle w:val="Heading1"/>
        <w:keepNext/>
      </w:pPr>
      <w:bookmarkStart w:id="16" w:name="da639a29-a55e-49c4-8655-0f6eeb953c05"/>
      <w:bookmarkStart w:id="17" w:name="_Toc225172248"/>
      <w:bookmarkEnd w:id="13"/>
      <w:r>
        <w:lastRenderedPageBreak/>
        <w:t>Coding and Standards</w:t>
      </w:r>
      <w:bookmarkEnd w:id="16"/>
      <w:bookmarkEnd w:id="17"/>
    </w:p>
    <w:p w14:paraId="0483D19E" w14:textId="545E34E8" w:rsidR="00090D5F" w:rsidRPr="00090D5F" w:rsidRDefault="0088160A" w:rsidP="00AC00FB">
      <w:pPr>
        <w:pStyle w:val="Heading2"/>
        <w:keepNext/>
        <w:spacing w:before="120"/>
      </w:pPr>
      <w:bookmarkStart w:id="18" w:name="df230bdd-98a3-4ba3-ae44-f9f8a8a15815"/>
      <w:bookmarkStart w:id="19" w:name="_Toc225172249"/>
      <w:r>
        <w:t>Codes</w:t>
      </w:r>
      <w:bookmarkEnd w:id="18"/>
      <w:bookmarkEnd w:id="19"/>
      <w:r w:rsidR="00402D8F">
        <w:t xml:space="preserve"> </w:t>
      </w:r>
      <w:bookmarkStart w:id="20" w:name="_Codes_(Table_below"/>
      <w:bookmarkStart w:id="21" w:name="8fb7bbad-f1f4-459f-87b7-b715a62bbcef"/>
      <w:bookmarkEnd w:id="20"/>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283BAE07" w:rsidR="005D7959" w:rsidRPr="00141835" w:rsidRDefault="00223BDE" w:rsidP="005D7959">
            <w:pPr>
              <w:pStyle w:val="In-TextTable"/>
            </w:pPr>
            <w:r>
              <w:t>J1305</w:t>
            </w:r>
          </w:p>
        </w:tc>
        <w:tc>
          <w:tcPr>
            <w:tcW w:w="1773" w:type="dxa"/>
            <w:tcBorders>
              <w:top w:val="single" w:sz="6" w:space="0" w:color="auto"/>
              <w:left w:val="single" w:sz="6" w:space="0" w:color="auto"/>
              <w:bottom w:val="single" w:sz="6" w:space="0" w:color="auto"/>
              <w:right w:val="single" w:sz="6" w:space="0" w:color="auto"/>
            </w:tcBorders>
          </w:tcPr>
          <w:p w14:paraId="0FED3A80" w14:textId="4508A66F" w:rsidR="005D7959" w:rsidRPr="008C30FC" w:rsidRDefault="00223BDE" w:rsidP="005D7959">
            <w:pPr>
              <w:pStyle w:val="In-TextTable"/>
              <w:rPr>
                <w:caps/>
              </w:rPr>
            </w:pPr>
            <w:r w:rsidRPr="008C30FC">
              <w:rPr>
                <w:caps/>
              </w:rPr>
              <w:t>Evkeeza</w:t>
            </w:r>
          </w:p>
        </w:tc>
        <w:tc>
          <w:tcPr>
            <w:tcW w:w="6394" w:type="dxa"/>
            <w:tcBorders>
              <w:top w:val="single" w:sz="6" w:space="0" w:color="auto"/>
              <w:left w:val="single" w:sz="6" w:space="0" w:color="auto"/>
              <w:bottom w:val="single" w:sz="6" w:space="0" w:color="auto"/>
              <w:right w:val="single" w:sz="6" w:space="0" w:color="auto"/>
            </w:tcBorders>
          </w:tcPr>
          <w:p w14:paraId="1AE9F9D3" w14:textId="7B6D78AD" w:rsidR="005D7959" w:rsidRPr="008C30FC" w:rsidRDefault="00223BDE" w:rsidP="005D7959">
            <w:pPr>
              <w:pStyle w:val="In-TextTable"/>
              <w:rPr>
                <w:caps/>
              </w:rPr>
            </w:pPr>
            <w:r w:rsidRPr="008C30FC">
              <w:rPr>
                <w:caps/>
              </w:rPr>
              <w:t>Injection, evinacumab-dgnb, 5mg</w:t>
            </w:r>
          </w:p>
        </w:tc>
      </w:tr>
    </w:tbl>
    <w:p w14:paraId="50F6E886" w14:textId="360D6987" w:rsidR="00E768E6" w:rsidRDefault="00B21AF9">
      <w:pPr>
        <w:pStyle w:val="Heading2"/>
      </w:pPr>
      <w:bookmarkStart w:id="22" w:name="_Toc225172250"/>
      <w:r>
        <w:t>Applicable Lines of Business</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23" w:name="bbdd6af5-83c0-477d-9a0b-290b2e0bb618"/>
      <w:bookmarkStart w:id="24" w:name="_Toc225172251"/>
      <w:r>
        <w:t>Background</w:t>
      </w:r>
      <w:bookmarkEnd w:id="23"/>
      <w:bookmarkEnd w:id="24"/>
    </w:p>
    <w:p w14:paraId="783A5D4A" w14:textId="629AAF31" w:rsidR="00121D1A" w:rsidRDefault="00223BDE" w:rsidP="00121D1A">
      <w:pPr>
        <w:rPr>
          <w:color w:val="000000"/>
        </w:rPr>
      </w:pPr>
      <w:bookmarkStart w:id="25" w:name="c8f46071-6a85-41b8-910e-ee88343077c4"/>
      <w:r w:rsidRPr="00223BDE">
        <w:rPr>
          <w:color w:val="000000"/>
        </w:rPr>
        <w:t xml:space="preserve">Evkeeza (evinacumab-dgnb) </w:t>
      </w:r>
      <w:r w:rsidR="009A7270">
        <w:rPr>
          <w:color w:val="000000"/>
        </w:rPr>
        <w:t xml:space="preserve">is indicated </w:t>
      </w:r>
      <w:r w:rsidRPr="00223BDE">
        <w:rPr>
          <w:color w:val="000000"/>
        </w:rPr>
        <w:t xml:space="preserve">as an adjunct to </w:t>
      </w:r>
      <w:r w:rsidR="00D96F8A">
        <w:rPr>
          <w:color w:val="000000"/>
        </w:rPr>
        <w:t xml:space="preserve">diet and exercise </w:t>
      </w:r>
      <w:r w:rsidRPr="00223BDE">
        <w:rPr>
          <w:color w:val="000000"/>
        </w:rPr>
        <w:t xml:space="preserve">other low-density lipoprotein-cholesterol (LDL-C) lowering therapies for the treatment of adult and pediatric patients </w:t>
      </w:r>
      <w:proofErr w:type="gramStart"/>
      <w:r w:rsidRPr="00223BDE">
        <w:rPr>
          <w:color w:val="000000"/>
        </w:rPr>
        <w:t>age</w:t>
      </w:r>
      <w:r w:rsidR="00AA1CDF">
        <w:rPr>
          <w:color w:val="000000"/>
        </w:rPr>
        <w:t>s</w:t>
      </w:r>
      <w:r w:rsidRPr="00223BDE">
        <w:rPr>
          <w:color w:val="000000"/>
        </w:rPr>
        <w:t>1</w:t>
      </w:r>
      <w:proofErr w:type="gramEnd"/>
      <w:r w:rsidRPr="00223BDE">
        <w:rPr>
          <w:color w:val="000000"/>
        </w:rPr>
        <w:t xml:space="preserve"> year and older, with homozygous familial hypercholesterolemia (HoFH).</w:t>
      </w:r>
    </w:p>
    <w:p w14:paraId="50F6E8A9" w14:textId="365336F4" w:rsidR="00E768E6" w:rsidRDefault="00B21AF9" w:rsidP="00E35E4A">
      <w:pPr>
        <w:pStyle w:val="Heading1"/>
      </w:pPr>
      <w:bookmarkStart w:id="26" w:name="_Toc225172252"/>
      <w:r>
        <w:t>Policy History</w:t>
      </w:r>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25EE1427" w:rsidR="00E768E6" w:rsidRDefault="00AC00FB" w:rsidP="00E35E4A">
            <w:pPr>
              <w:pStyle w:val="In-TextTable"/>
            </w:pPr>
            <w:r>
              <w:t>March 2026</w:t>
            </w:r>
          </w:p>
        </w:tc>
        <w:tc>
          <w:tcPr>
            <w:tcW w:w="3755" w:type="pct"/>
          </w:tcPr>
          <w:p w14:paraId="16BE979F" w14:textId="77777777" w:rsidR="00E35E4A" w:rsidRDefault="00A27C9A" w:rsidP="00E177C5">
            <w:pPr>
              <w:pStyle w:val="ListParagraph"/>
              <w:numPr>
                <w:ilvl w:val="0"/>
                <w:numId w:val="28"/>
              </w:numPr>
            </w:pPr>
            <w:r>
              <w:t>Added dosing criterion to both initial and reauthorization sections</w:t>
            </w:r>
          </w:p>
          <w:p w14:paraId="50F6E8AF" w14:textId="79147502" w:rsidR="00A27C9A" w:rsidRDefault="00A27C9A" w:rsidP="00E177C5">
            <w:pPr>
              <w:pStyle w:val="ListParagraph"/>
              <w:numPr>
                <w:ilvl w:val="0"/>
                <w:numId w:val="28"/>
              </w:numPr>
            </w:pPr>
            <w:r>
              <w:t xml:space="preserve">Updated age limitation to </w:t>
            </w:r>
            <w:r w:rsidR="00AA1CDF">
              <w:t xml:space="preserve">age </w:t>
            </w:r>
            <w:r>
              <w:t>1 in initial criteria</w:t>
            </w:r>
          </w:p>
        </w:tc>
      </w:tr>
      <w:tr w:rsidR="00E768E6" w14:paraId="50F6E8B4" w14:textId="77777777" w:rsidTr="00E35E4A">
        <w:tc>
          <w:tcPr>
            <w:tcW w:w="1245" w:type="pct"/>
          </w:tcPr>
          <w:p w14:paraId="50F6E8B1" w14:textId="221FC03E" w:rsidR="00E768E6" w:rsidRDefault="00A27C9A" w:rsidP="00E35E4A">
            <w:pPr>
              <w:pStyle w:val="In-TextTable"/>
            </w:pPr>
            <w:r>
              <w:t>January 2024</w:t>
            </w:r>
          </w:p>
        </w:tc>
        <w:tc>
          <w:tcPr>
            <w:tcW w:w="3755" w:type="pct"/>
          </w:tcPr>
          <w:p w14:paraId="50F6E8B3" w14:textId="1D41E374" w:rsidR="00E768E6" w:rsidRDefault="00A27C9A" w:rsidP="00E177C5">
            <w:pPr>
              <w:pStyle w:val="ListParagraph"/>
              <w:numPr>
                <w:ilvl w:val="0"/>
                <w:numId w:val="28"/>
              </w:numPr>
            </w:pPr>
            <w:r>
              <w:rPr>
                <w:color w:val="000000"/>
              </w:rPr>
              <w:t xml:space="preserve">New </w:t>
            </w:r>
            <w:r w:rsidR="00054F9D">
              <w:rPr>
                <w:color w:val="000000"/>
              </w:rPr>
              <w:t>g</w:t>
            </w:r>
            <w:r>
              <w:rPr>
                <w:color w:val="000000"/>
              </w:rPr>
              <w:t>uideline</w:t>
            </w:r>
          </w:p>
        </w:tc>
      </w:tr>
    </w:tbl>
    <w:p w14:paraId="50F6E8BE" w14:textId="77777777" w:rsidR="00E768E6" w:rsidRDefault="00B21AF9" w:rsidP="00513852">
      <w:pPr>
        <w:pStyle w:val="Heading1"/>
        <w:keepNext/>
      </w:pPr>
      <w:bookmarkStart w:id="27" w:name="4b512564-b43b-4807-b45a-5748be5b1408"/>
      <w:bookmarkStart w:id="28" w:name="_Toc225172253"/>
      <w:r>
        <w:lastRenderedPageBreak/>
        <w:t>Legal and Compliance</w:t>
      </w:r>
      <w:bookmarkEnd w:id="27"/>
      <w:bookmarkEnd w:id="28"/>
    </w:p>
    <w:p w14:paraId="50F6E8BF" w14:textId="77777777" w:rsidR="00E768E6" w:rsidRDefault="00B21AF9" w:rsidP="00513852">
      <w:pPr>
        <w:pStyle w:val="Heading2"/>
        <w:keepNext/>
        <w:spacing w:before="120"/>
      </w:pPr>
      <w:bookmarkStart w:id="29" w:name="04291978-1a0a-4575-ba22-05363952021b"/>
      <w:bookmarkStart w:id="30" w:name="_Toc225172254"/>
      <w:r>
        <w:t>Guideline Approval</w:t>
      </w:r>
      <w:bookmarkEnd w:id="29"/>
      <w:bookmarkEnd w:id="30"/>
    </w:p>
    <w:p w14:paraId="50F6E8C0" w14:textId="77777777" w:rsidR="00E768E6" w:rsidRDefault="00B21AF9" w:rsidP="00A03DEC">
      <w:pPr>
        <w:pStyle w:val="Heading3"/>
        <w:spacing w:before="120"/>
      </w:pPr>
      <w:bookmarkStart w:id="31" w:name="b97fcac7-a717-42a2-b4fe-62c00859e1e4"/>
      <w:bookmarkStart w:id="32" w:name="_Toc225172255"/>
      <w:r>
        <w:t>Committee</w:t>
      </w:r>
      <w:bookmarkEnd w:id="31"/>
      <w:bookmarkEnd w:id="32"/>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3" w:name="2aca8366-a793-4f5d-9375-d9ccb446b05d"/>
      <w:bookmarkStart w:id="34" w:name="_Toc225172256"/>
      <w:r>
        <w:t>Disclaimer</w:t>
      </w:r>
      <w:bookmarkEnd w:id="33"/>
      <w:bookmarkEnd w:id="34"/>
    </w:p>
    <w:p w14:paraId="105E39C0" w14:textId="77777777" w:rsidR="001826F0" w:rsidRPr="001826F0" w:rsidRDefault="001826F0" w:rsidP="001826F0">
      <w:pPr>
        <w:spacing w:before="0" w:after="0"/>
        <w:rPr>
          <w:i/>
          <w:iCs/>
          <w:color w:val="000000"/>
        </w:rPr>
      </w:pPr>
      <w:r w:rsidRPr="001826F0">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09DA2BD5" w14:textId="77777777" w:rsidR="001826F0" w:rsidRPr="001826F0" w:rsidRDefault="001826F0" w:rsidP="001826F0">
      <w:pPr>
        <w:spacing w:before="0" w:after="0"/>
        <w:rPr>
          <w:i/>
          <w:iCs/>
          <w:color w:val="000000"/>
        </w:rPr>
      </w:pPr>
    </w:p>
    <w:p w14:paraId="3DD7D67B" w14:textId="413AA71E" w:rsidR="00EC7EE7" w:rsidRDefault="001826F0" w:rsidP="001826F0">
      <w:pPr>
        <w:spacing w:before="0" w:after="0"/>
        <w:rPr>
          <w:rFonts w:eastAsia="Calibri" w:cs="Calibri"/>
          <w:b/>
          <w:bCs/>
          <w:caps/>
          <w:sz w:val="36"/>
          <w:szCs w:val="28"/>
        </w:rPr>
      </w:pPr>
      <w:r w:rsidRPr="001826F0">
        <w:rPr>
          <w:i/>
          <w:iCs/>
          <w:color w:val="000000"/>
        </w:rPr>
        <w:t xml:space="preserve">Evolent Clinical Guidelines are comprehensive and inclusive of various procedural applications for each service type. Our guidelines may be used to supplement Medicare criteria when such criteria </w:t>
      </w:r>
      <w:proofErr w:type="gramStart"/>
      <w:r w:rsidRPr="001826F0">
        <w:rPr>
          <w:i/>
          <w:iCs/>
          <w:color w:val="000000"/>
        </w:rPr>
        <w:t>is</w:t>
      </w:r>
      <w:proofErr w:type="gramEnd"/>
      <w:r w:rsidRPr="001826F0">
        <w:rPr>
          <w:i/>
          <w:iCs/>
          <w:color w:val="000000"/>
        </w:rPr>
        <w:t xml:space="preserve"> not fully established. When Medicare criteria </w:t>
      </w:r>
      <w:proofErr w:type="gramStart"/>
      <w:r w:rsidRPr="001826F0">
        <w:rPr>
          <w:i/>
          <w:iCs/>
          <w:color w:val="000000"/>
        </w:rPr>
        <w:t>is</w:t>
      </w:r>
      <w:proofErr w:type="gramEnd"/>
      <w:r w:rsidRPr="001826F0">
        <w:rPr>
          <w:i/>
          <w:iCs/>
          <w:color w:val="000000"/>
        </w:rPr>
        <w:t xml:space="preserve"> determined to not be fully established, we only reference the relevant portion of the corresponding Evolent Clinical Guideline that is applicable to the specific service or item requested </w:t>
      </w:r>
      <w:proofErr w:type="gramStart"/>
      <w:r w:rsidRPr="001826F0">
        <w:rPr>
          <w:i/>
          <w:iCs/>
          <w:color w:val="000000"/>
        </w:rPr>
        <w:t>in order to</w:t>
      </w:r>
      <w:proofErr w:type="gramEnd"/>
      <w:r w:rsidRPr="001826F0">
        <w:rPr>
          <w:i/>
          <w:iCs/>
          <w:color w:val="000000"/>
        </w:rPr>
        <w:t xml:space="preserve"> determine medical necessity.  </w:t>
      </w:r>
      <w:r w:rsidR="00EC7EE7">
        <w:br w:type="page"/>
      </w:r>
    </w:p>
    <w:p w14:paraId="50F6E8C6" w14:textId="04369AA8" w:rsidR="00E768E6" w:rsidRDefault="00B21AF9" w:rsidP="00A03DEC">
      <w:pPr>
        <w:pStyle w:val="Heading1"/>
      </w:pPr>
      <w:bookmarkStart w:id="35" w:name="_Toc225172257"/>
      <w:r>
        <w:lastRenderedPageBreak/>
        <w:t>References</w:t>
      </w:r>
      <w:bookmarkEnd w:id="35"/>
    </w:p>
    <w:p w14:paraId="0AE0307C" w14:textId="584C15B2" w:rsidR="00D96F8A" w:rsidRDefault="00D96F8A" w:rsidP="00AC00FB">
      <w:pPr>
        <w:pStyle w:val="Bibliography"/>
        <w:numPr>
          <w:ilvl w:val="0"/>
          <w:numId w:val="32"/>
        </w:numPr>
        <w:spacing w:after="0"/>
        <w:rPr>
          <w:sz w:val="22"/>
        </w:rPr>
      </w:pPr>
      <w:r>
        <w:rPr>
          <w:sz w:val="22"/>
        </w:rPr>
        <w:t xml:space="preserve">Evkeeza [prescribing insert]. Tarrytown, NY: Regeneron Pharmaceuticals, Inc.; </w:t>
      </w:r>
      <w:r w:rsidR="000057A6">
        <w:rPr>
          <w:sz w:val="22"/>
        </w:rPr>
        <w:t>September 2025.</w:t>
      </w:r>
    </w:p>
    <w:p w14:paraId="7092081E" w14:textId="028030E3" w:rsidR="00223BDE" w:rsidRPr="00223BDE" w:rsidRDefault="00223BDE" w:rsidP="00AC00FB">
      <w:pPr>
        <w:pStyle w:val="Bibliography"/>
        <w:numPr>
          <w:ilvl w:val="0"/>
          <w:numId w:val="32"/>
        </w:numPr>
        <w:spacing w:after="0"/>
        <w:rPr>
          <w:sz w:val="22"/>
        </w:rPr>
      </w:pPr>
      <w:r w:rsidRPr="00223BDE">
        <w:rPr>
          <w:sz w:val="22"/>
        </w:rPr>
        <w:t xml:space="preserve">Cuchel M, Meagher E, du Toit Theron H, et al. Efficacy and Safety of a Microsomal Triglyceride Transfer Protein Inhibitor in Patients with Homozygous Familial Hypercholesterolemia: a Single Arm, Open-Label, Phase 3 Study. The Lancet. 2012; published online at http://dx.doi.org/10.1016/S0140-6736(12)61731-0.  </w:t>
      </w:r>
    </w:p>
    <w:p w14:paraId="2D4E4935" w14:textId="77777777" w:rsidR="00223BDE" w:rsidRPr="00223BDE" w:rsidRDefault="00223BDE" w:rsidP="00AC00FB">
      <w:pPr>
        <w:pStyle w:val="Bibliography"/>
        <w:numPr>
          <w:ilvl w:val="0"/>
          <w:numId w:val="32"/>
        </w:numPr>
        <w:spacing w:after="0"/>
        <w:rPr>
          <w:sz w:val="22"/>
        </w:rPr>
      </w:pPr>
      <w:r w:rsidRPr="00223BDE">
        <w:rPr>
          <w:sz w:val="22"/>
        </w:rPr>
        <w:t xml:space="preserve">Juxtapid [package insert]. Cambridge, MA: Aegerion Pharmaceuticals; May 2015 .  </w:t>
      </w:r>
    </w:p>
    <w:p w14:paraId="2F5B4142" w14:textId="77777777" w:rsidR="00223BDE" w:rsidRPr="00223BDE" w:rsidRDefault="00223BDE" w:rsidP="00AC00FB">
      <w:pPr>
        <w:pStyle w:val="Bibliography"/>
        <w:numPr>
          <w:ilvl w:val="0"/>
          <w:numId w:val="32"/>
        </w:numPr>
        <w:spacing w:after="0"/>
        <w:rPr>
          <w:sz w:val="22"/>
        </w:rPr>
      </w:pPr>
      <w:r w:rsidRPr="00223BDE">
        <w:rPr>
          <w:sz w:val="22"/>
        </w:rPr>
        <w:t xml:space="preserve">Repatha [prescribing information]. Thousand Oaks, CA: Amgen Inc; August 2015.  </w:t>
      </w:r>
    </w:p>
    <w:p w14:paraId="5AE353FF" w14:textId="77777777" w:rsidR="00223BDE" w:rsidRPr="00223BDE" w:rsidRDefault="00223BDE" w:rsidP="00AC00FB">
      <w:pPr>
        <w:pStyle w:val="Bibliography"/>
        <w:numPr>
          <w:ilvl w:val="0"/>
          <w:numId w:val="32"/>
        </w:numPr>
        <w:spacing w:after="0"/>
        <w:rPr>
          <w:sz w:val="22"/>
        </w:rPr>
      </w:pPr>
      <w:r w:rsidRPr="00223BDE">
        <w:rPr>
          <w:sz w:val="22"/>
        </w:rPr>
        <w:t xml:space="preserve">Raal FJ, Honarpour N, Blom DJ et al. Inhibition of PCSK9 with evolocumab in homozygous familial hypercholesterolaemia (TESLA Part B): a randomised, double-blind, placebo-controlled trial. Lancet. 2015 Jan 24;385(9965):341-50.  </w:t>
      </w:r>
    </w:p>
    <w:p w14:paraId="5E1A415D" w14:textId="77777777" w:rsidR="00223BDE" w:rsidRPr="00223BDE" w:rsidRDefault="00223BDE" w:rsidP="00AC00FB">
      <w:pPr>
        <w:pStyle w:val="Bibliography"/>
        <w:numPr>
          <w:ilvl w:val="0"/>
          <w:numId w:val="32"/>
        </w:numPr>
        <w:spacing w:after="0"/>
        <w:rPr>
          <w:sz w:val="22"/>
        </w:rPr>
      </w:pPr>
      <w:r w:rsidRPr="00223BDE">
        <w:rPr>
          <w:sz w:val="22"/>
        </w:rPr>
        <w:t xml:space="preserve">Raal FJ, Santos RD. Homozygous familial hypercholesterolemia: current perspectives on diagnosis and treatment. Atherosclerosis 2012; 223: 262-68. </w:t>
      </w:r>
    </w:p>
    <w:p w14:paraId="50F6E8E0" w14:textId="2494408B" w:rsidR="00E768E6" w:rsidRPr="00C764C3" w:rsidRDefault="00E768E6" w:rsidP="008C30FC">
      <w:pPr>
        <w:pStyle w:val="Bibliography"/>
        <w:ind w:left="360"/>
        <w:rPr>
          <w:sz w:val="22"/>
        </w:rPr>
      </w:pPr>
    </w:p>
    <w:sectPr w:rsidR="00E768E6" w:rsidRPr="00C764C3" w:rsidSect="00B453FA">
      <w:headerReference w:type="default" r:id="rId11"/>
      <w:footerReference w:type="default" r:id="rId12"/>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5D83" w14:textId="77777777" w:rsidR="00835F78" w:rsidRDefault="00835F78">
      <w:pPr>
        <w:spacing w:before="0" w:after="0"/>
      </w:pPr>
      <w:r>
        <w:separator/>
      </w:r>
    </w:p>
  </w:endnote>
  <w:endnote w:type="continuationSeparator" w:id="0">
    <w:p w14:paraId="42B3DA43" w14:textId="77777777" w:rsidR="00835F78" w:rsidRDefault="00835F78">
      <w:pPr>
        <w:spacing w:before="0" w:after="0"/>
      </w:pPr>
      <w:r>
        <w:continuationSeparator/>
      </w:r>
    </w:p>
  </w:endnote>
  <w:endnote w:type="continuationNotice" w:id="1">
    <w:p w14:paraId="24A13D2E" w14:textId="77777777" w:rsidR="00835F78" w:rsidRDefault="00835F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635F7D49" w:rsidR="00E768E6" w:rsidRDefault="5D66B660">
    <w:pPr>
      <w:pStyle w:val="Footer"/>
    </w:pPr>
    <w:r>
      <w:t xml:space="preserve">EVH Clinical Guideline </w:t>
    </w:r>
    <w:r w:rsidR="00C368CE">
      <w:t>5039</w:t>
    </w:r>
    <w:r>
      <w:t xml:space="preserve">.CC for </w:t>
    </w:r>
    <w:r w:rsidR="00223BDE">
      <w:t>Evkeeza (evinacumab-dgnb)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B929" w14:textId="77777777" w:rsidR="00835F78" w:rsidRDefault="00835F78">
      <w:pPr>
        <w:spacing w:before="0" w:after="0"/>
      </w:pPr>
      <w:r>
        <w:separator/>
      </w:r>
    </w:p>
  </w:footnote>
  <w:footnote w:type="continuationSeparator" w:id="0">
    <w:p w14:paraId="7FF75551" w14:textId="77777777" w:rsidR="00835F78" w:rsidRDefault="00835F78">
      <w:pPr>
        <w:spacing w:before="0" w:after="0"/>
      </w:pPr>
      <w:r>
        <w:continuationSeparator/>
      </w:r>
    </w:p>
  </w:footnote>
  <w:footnote w:type="continuationNotice" w:id="1">
    <w:p w14:paraId="2C5D06F5" w14:textId="77777777" w:rsidR="00835F78" w:rsidRDefault="00835F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6"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6AE56F7"/>
    <w:multiLevelType w:val="hybridMultilevel"/>
    <w:tmpl w:val="A5A2D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9" w15:restartNumberingAfterBreak="0">
    <w:nsid w:val="1E88785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0"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1"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2"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3"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4"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7"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8" w15:restartNumberingAfterBreak="0">
    <w:nsid w:val="3DDD10C3"/>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9"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20"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2"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3"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6BDF071B"/>
    <w:multiLevelType w:val="multilevel"/>
    <w:tmpl w:val="116229AA"/>
    <w:lvl w:ilvl="0">
      <w:start w:val="1"/>
      <w:numFmt w:val="bullet"/>
      <w:lvlText w:val="●"/>
      <w:lvlJc w:val="left"/>
      <w:pPr>
        <w:ind w:left="1080" w:hanging="360"/>
      </w:pPr>
      <w:rPr>
        <w:rFonts w:ascii="Calibri" w:hAnsi="Calibri" w:hint="default"/>
        <w:sz w:val="24"/>
      </w:rPr>
    </w:lvl>
    <w:lvl w:ilvl="1">
      <w:start w:val="1"/>
      <w:numFmt w:val="bullet"/>
      <w:lvlText w:val="○"/>
      <w:lvlJc w:val="left"/>
      <w:pPr>
        <w:ind w:left="1440" w:hanging="360"/>
      </w:pPr>
      <w:rPr>
        <w:rFonts w:ascii="Calibri" w:hAnsi="Calibri" w:hint="default"/>
      </w:rPr>
    </w:lvl>
    <w:lvl w:ilvl="2">
      <w:start w:val="1"/>
      <w:numFmt w:val="bullet"/>
      <w:lvlText w:val="■"/>
      <w:lvlJc w:val="left"/>
      <w:pPr>
        <w:ind w:left="1800" w:hanging="360"/>
      </w:pPr>
      <w:rPr>
        <w:rFonts w:ascii="Calibri" w:hAnsi="Calibri" w:hint="default"/>
      </w:rPr>
    </w:lvl>
    <w:lvl w:ilvl="3">
      <w:start w:val="1"/>
      <w:numFmt w:val="bullet"/>
      <w:lvlText w:val="□"/>
      <w:lvlJc w:val="left"/>
      <w:pPr>
        <w:ind w:left="2160" w:hanging="360"/>
      </w:pPr>
      <w:rPr>
        <w:rFonts w:ascii="Calibri" w:hAnsi="Calibri" w:hint="default"/>
      </w:rPr>
    </w:lvl>
    <w:lvl w:ilvl="4">
      <w:start w:val="1"/>
      <w:numFmt w:val="bullet"/>
      <w:lvlText w:val=""/>
      <w:lvlJc w:val="left"/>
      <w:pPr>
        <w:ind w:left="2520" w:hanging="360"/>
      </w:pPr>
      <w:rPr>
        <w:rFonts w:ascii="Wingdings 2" w:hAnsi="Wingdings 2" w:hint="default"/>
      </w:rPr>
    </w:lvl>
    <w:lvl w:ilvl="5">
      <w:start w:val="1"/>
      <w:numFmt w:val="bullet"/>
      <w:lvlText w:val=""/>
      <w:lvlJc w:val="left"/>
      <w:pPr>
        <w:ind w:left="2880" w:hanging="360"/>
      </w:pPr>
      <w:rPr>
        <w:rFonts w:ascii="Wingdings 2" w:hAnsi="Wingdings 2" w:hint="default"/>
        <w:sz w:val="24"/>
      </w:rPr>
    </w:lvl>
    <w:lvl w:ilvl="6">
      <w:start w:val="1"/>
      <w:numFmt w:val="bullet"/>
      <w:lvlText w:val="●"/>
      <w:lvlJc w:val="left"/>
      <w:pPr>
        <w:ind w:left="3240" w:hanging="360"/>
      </w:pPr>
      <w:rPr>
        <w:rFonts w:ascii="Calibri" w:hAnsi="Calibri" w:hint="default"/>
      </w:rPr>
    </w:lvl>
    <w:lvl w:ilvl="7">
      <w:start w:val="1"/>
      <w:numFmt w:val="bullet"/>
      <w:lvlText w:val="○"/>
      <w:lvlJc w:val="left"/>
      <w:pPr>
        <w:ind w:left="3600" w:hanging="360"/>
      </w:pPr>
      <w:rPr>
        <w:rFonts w:ascii="Calibri" w:hAnsi="Calibri" w:hint="default"/>
      </w:rPr>
    </w:lvl>
    <w:lvl w:ilvl="8">
      <w:start w:val="1"/>
      <w:numFmt w:val="bullet"/>
      <w:lvlText w:val="■"/>
      <w:lvlJc w:val="left"/>
      <w:pPr>
        <w:ind w:left="3960" w:hanging="360"/>
      </w:pPr>
      <w:rPr>
        <w:rFonts w:ascii="Calibri" w:hAnsi="Calibri" w:hint="default"/>
        <w:sz w:val="24"/>
      </w:rPr>
    </w:lvl>
  </w:abstractNum>
  <w:abstractNum w:abstractNumId="29"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5"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1"/>
    <w:lvlOverride w:ilvl="0">
      <w:startOverride w:val="1"/>
    </w:lvlOverride>
  </w:num>
  <w:num w:numId="2" w16cid:durableId="1704356648">
    <w:abstractNumId w:val="19"/>
    <w:lvlOverride w:ilvl="0">
      <w:startOverride w:val="1"/>
    </w:lvlOverride>
  </w:num>
  <w:num w:numId="3" w16cid:durableId="1483080296">
    <w:abstractNumId w:val="3"/>
  </w:num>
  <w:num w:numId="4" w16cid:durableId="1938244795">
    <w:abstractNumId w:val="31"/>
  </w:num>
  <w:num w:numId="5" w16cid:durableId="443425685">
    <w:abstractNumId w:val="13"/>
  </w:num>
  <w:num w:numId="6" w16cid:durableId="1035155679">
    <w:abstractNumId w:val="32"/>
  </w:num>
  <w:num w:numId="7" w16cid:durableId="1644895934">
    <w:abstractNumId w:val="8"/>
  </w:num>
  <w:num w:numId="8" w16cid:durableId="108479868">
    <w:abstractNumId w:val="25"/>
  </w:num>
  <w:num w:numId="9" w16cid:durableId="1305232670">
    <w:abstractNumId w:val="23"/>
  </w:num>
  <w:num w:numId="10" w16cid:durableId="2028941698">
    <w:abstractNumId w:val="2"/>
  </w:num>
  <w:num w:numId="11" w16cid:durableId="685055951">
    <w:abstractNumId w:val="30"/>
  </w:num>
  <w:num w:numId="12" w16cid:durableId="1693796029">
    <w:abstractNumId w:val="4"/>
  </w:num>
  <w:num w:numId="13" w16cid:durableId="1488281355">
    <w:abstractNumId w:val="35"/>
  </w:num>
  <w:num w:numId="14" w16cid:durableId="1127746351">
    <w:abstractNumId w:val="1"/>
  </w:num>
  <w:num w:numId="15" w16cid:durableId="1163937515">
    <w:abstractNumId w:val="29"/>
  </w:num>
  <w:num w:numId="16" w16cid:durableId="1995992187">
    <w:abstractNumId w:val="33"/>
  </w:num>
  <w:num w:numId="17" w16cid:durableId="950631868">
    <w:abstractNumId w:val="27"/>
  </w:num>
  <w:num w:numId="18" w16cid:durableId="1517035596">
    <w:abstractNumId w:val="22"/>
  </w:num>
  <w:num w:numId="19" w16cid:durableId="1614359465">
    <w:abstractNumId w:val="15"/>
  </w:num>
  <w:num w:numId="20" w16cid:durableId="839387076">
    <w:abstractNumId w:val="5"/>
  </w:num>
  <w:num w:numId="21" w16cid:durableId="1537111969">
    <w:abstractNumId w:val="12"/>
  </w:num>
  <w:num w:numId="22" w16cid:durableId="2022773969">
    <w:abstractNumId w:val="14"/>
  </w:num>
  <w:num w:numId="23" w16cid:durableId="547644220">
    <w:abstractNumId w:val="16"/>
  </w:num>
  <w:num w:numId="24" w16cid:durableId="313678777">
    <w:abstractNumId w:val="10"/>
  </w:num>
  <w:num w:numId="25" w16cid:durableId="80952899">
    <w:abstractNumId w:val="26"/>
  </w:num>
  <w:num w:numId="26" w16cid:durableId="2072842429">
    <w:abstractNumId w:val="24"/>
  </w:num>
  <w:num w:numId="27" w16cid:durableId="2086607144">
    <w:abstractNumId w:val="21"/>
  </w:num>
  <w:num w:numId="28" w16cid:durableId="1729299406">
    <w:abstractNumId w:val="6"/>
  </w:num>
  <w:num w:numId="29" w16cid:durableId="2028435484">
    <w:abstractNumId w:val="0"/>
  </w:num>
  <w:num w:numId="30" w16cid:durableId="433867396">
    <w:abstractNumId w:val="28"/>
  </w:num>
  <w:num w:numId="31" w16cid:durableId="1470515242">
    <w:abstractNumId w:val="20"/>
  </w:num>
  <w:num w:numId="32" w16cid:durableId="1174343212">
    <w:abstractNumId w:val="7"/>
  </w:num>
  <w:num w:numId="33" w16cid:durableId="796143920">
    <w:abstractNumId w:val="17"/>
  </w:num>
  <w:num w:numId="34" w16cid:durableId="2098281171">
    <w:abstractNumId w:val="34"/>
  </w:num>
  <w:num w:numId="35" w16cid:durableId="1040933522">
    <w:abstractNumId w:val="18"/>
  </w:num>
  <w:num w:numId="36" w16cid:durableId="59181388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0507B"/>
    <w:rsid w:val="000057A6"/>
    <w:rsid w:val="0001683F"/>
    <w:rsid w:val="00020083"/>
    <w:rsid w:val="00020EE2"/>
    <w:rsid w:val="00033EE8"/>
    <w:rsid w:val="0003646D"/>
    <w:rsid w:val="000428D6"/>
    <w:rsid w:val="0004797B"/>
    <w:rsid w:val="00054F9D"/>
    <w:rsid w:val="00085B86"/>
    <w:rsid w:val="00090D5F"/>
    <w:rsid w:val="00091912"/>
    <w:rsid w:val="0009660E"/>
    <w:rsid w:val="000B5014"/>
    <w:rsid w:val="000D07A6"/>
    <w:rsid w:val="000D4859"/>
    <w:rsid w:val="000E54AA"/>
    <w:rsid w:val="000E56E6"/>
    <w:rsid w:val="000F26CB"/>
    <w:rsid w:val="000F4F33"/>
    <w:rsid w:val="00107484"/>
    <w:rsid w:val="00121D1A"/>
    <w:rsid w:val="00131376"/>
    <w:rsid w:val="001331D9"/>
    <w:rsid w:val="001350EC"/>
    <w:rsid w:val="00137B11"/>
    <w:rsid w:val="001542FF"/>
    <w:rsid w:val="00165017"/>
    <w:rsid w:val="00170BE8"/>
    <w:rsid w:val="001826F0"/>
    <w:rsid w:val="00184B0B"/>
    <w:rsid w:val="001906D9"/>
    <w:rsid w:val="00192D85"/>
    <w:rsid w:val="001B47C5"/>
    <w:rsid w:val="001C3443"/>
    <w:rsid w:val="001C6AD6"/>
    <w:rsid w:val="001D0269"/>
    <w:rsid w:val="001F3FBD"/>
    <w:rsid w:val="0020217A"/>
    <w:rsid w:val="00211956"/>
    <w:rsid w:val="00223BDE"/>
    <w:rsid w:val="00226856"/>
    <w:rsid w:val="00254BB7"/>
    <w:rsid w:val="002561E8"/>
    <w:rsid w:val="0026198C"/>
    <w:rsid w:val="00265A17"/>
    <w:rsid w:val="00266200"/>
    <w:rsid w:val="00291702"/>
    <w:rsid w:val="00291FF8"/>
    <w:rsid w:val="002A1528"/>
    <w:rsid w:val="002A5A0A"/>
    <w:rsid w:val="002B4658"/>
    <w:rsid w:val="002B581F"/>
    <w:rsid w:val="002C685E"/>
    <w:rsid w:val="002D5BAA"/>
    <w:rsid w:val="002E1DCA"/>
    <w:rsid w:val="002F2953"/>
    <w:rsid w:val="0030732A"/>
    <w:rsid w:val="00321C8B"/>
    <w:rsid w:val="003238CC"/>
    <w:rsid w:val="00324C14"/>
    <w:rsid w:val="00366A37"/>
    <w:rsid w:val="00371D5A"/>
    <w:rsid w:val="00392C61"/>
    <w:rsid w:val="003B7958"/>
    <w:rsid w:val="003F1770"/>
    <w:rsid w:val="00402D8F"/>
    <w:rsid w:val="00422320"/>
    <w:rsid w:val="00426325"/>
    <w:rsid w:val="0042696D"/>
    <w:rsid w:val="004339C2"/>
    <w:rsid w:val="00491493"/>
    <w:rsid w:val="004A6F71"/>
    <w:rsid w:val="004B5DBF"/>
    <w:rsid w:val="004C3BCE"/>
    <w:rsid w:val="004D20A0"/>
    <w:rsid w:val="004D6BF0"/>
    <w:rsid w:val="004D6F63"/>
    <w:rsid w:val="004E5B62"/>
    <w:rsid w:val="00513852"/>
    <w:rsid w:val="00514C1A"/>
    <w:rsid w:val="00515EC6"/>
    <w:rsid w:val="00520329"/>
    <w:rsid w:val="00534131"/>
    <w:rsid w:val="00535D45"/>
    <w:rsid w:val="00542876"/>
    <w:rsid w:val="00544CAA"/>
    <w:rsid w:val="00574892"/>
    <w:rsid w:val="00577CE3"/>
    <w:rsid w:val="00593230"/>
    <w:rsid w:val="005B45BB"/>
    <w:rsid w:val="005C156E"/>
    <w:rsid w:val="005D7959"/>
    <w:rsid w:val="005E1BA6"/>
    <w:rsid w:val="005F20CB"/>
    <w:rsid w:val="005F4EF2"/>
    <w:rsid w:val="005F6B75"/>
    <w:rsid w:val="005F7F01"/>
    <w:rsid w:val="006115FD"/>
    <w:rsid w:val="00616BF8"/>
    <w:rsid w:val="0062443E"/>
    <w:rsid w:val="0063414B"/>
    <w:rsid w:val="00645EB1"/>
    <w:rsid w:val="00667E6D"/>
    <w:rsid w:val="00673DF1"/>
    <w:rsid w:val="006759EC"/>
    <w:rsid w:val="00687B17"/>
    <w:rsid w:val="00692B3B"/>
    <w:rsid w:val="0069442A"/>
    <w:rsid w:val="006B408B"/>
    <w:rsid w:val="006B4506"/>
    <w:rsid w:val="006F2FF7"/>
    <w:rsid w:val="006F3F41"/>
    <w:rsid w:val="00713883"/>
    <w:rsid w:val="00714A8C"/>
    <w:rsid w:val="007420BF"/>
    <w:rsid w:val="007765BD"/>
    <w:rsid w:val="0078667C"/>
    <w:rsid w:val="0079769E"/>
    <w:rsid w:val="007C0375"/>
    <w:rsid w:val="007F147F"/>
    <w:rsid w:val="00800EA8"/>
    <w:rsid w:val="008200CB"/>
    <w:rsid w:val="00835F78"/>
    <w:rsid w:val="008401CF"/>
    <w:rsid w:val="008541B7"/>
    <w:rsid w:val="0088160A"/>
    <w:rsid w:val="00886909"/>
    <w:rsid w:val="008912B2"/>
    <w:rsid w:val="008A68A1"/>
    <w:rsid w:val="008C30FC"/>
    <w:rsid w:val="008D27CA"/>
    <w:rsid w:val="008F3B8D"/>
    <w:rsid w:val="00903D20"/>
    <w:rsid w:val="00937AE7"/>
    <w:rsid w:val="00940509"/>
    <w:rsid w:val="0094142F"/>
    <w:rsid w:val="00945A28"/>
    <w:rsid w:val="00962667"/>
    <w:rsid w:val="009A7270"/>
    <w:rsid w:val="009C6502"/>
    <w:rsid w:val="009D024B"/>
    <w:rsid w:val="009E5DF1"/>
    <w:rsid w:val="009F03BF"/>
    <w:rsid w:val="009F0851"/>
    <w:rsid w:val="00A03DEC"/>
    <w:rsid w:val="00A07359"/>
    <w:rsid w:val="00A27C9A"/>
    <w:rsid w:val="00A376EA"/>
    <w:rsid w:val="00A74B4B"/>
    <w:rsid w:val="00A858B1"/>
    <w:rsid w:val="00A95B64"/>
    <w:rsid w:val="00AA1CDF"/>
    <w:rsid w:val="00AA523B"/>
    <w:rsid w:val="00AA5755"/>
    <w:rsid w:val="00AB1645"/>
    <w:rsid w:val="00AC00FB"/>
    <w:rsid w:val="00AD63EA"/>
    <w:rsid w:val="00B04EC0"/>
    <w:rsid w:val="00B21AF9"/>
    <w:rsid w:val="00B408A5"/>
    <w:rsid w:val="00B453FA"/>
    <w:rsid w:val="00B4747E"/>
    <w:rsid w:val="00B51283"/>
    <w:rsid w:val="00B5432B"/>
    <w:rsid w:val="00B577D6"/>
    <w:rsid w:val="00B64842"/>
    <w:rsid w:val="00B73404"/>
    <w:rsid w:val="00B95186"/>
    <w:rsid w:val="00BB3C91"/>
    <w:rsid w:val="00BC594E"/>
    <w:rsid w:val="00BE1780"/>
    <w:rsid w:val="00BE46D9"/>
    <w:rsid w:val="00C037EE"/>
    <w:rsid w:val="00C06406"/>
    <w:rsid w:val="00C10F2D"/>
    <w:rsid w:val="00C27384"/>
    <w:rsid w:val="00C368CE"/>
    <w:rsid w:val="00C70BDC"/>
    <w:rsid w:val="00C764C3"/>
    <w:rsid w:val="00C808BD"/>
    <w:rsid w:val="00C935F6"/>
    <w:rsid w:val="00C96DD2"/>
    <w:rsid w:val="00CA5D81"/>
    <w:rsid w:val="00CA6FC8"/>
    <w:rsid w:val="00CE7F1D"/>
    <w:rsid w:val="00D03EF8"/>
    <w:rsid w:val="00D14C19"/>
    <w:rsid w:val="00D20CC0"/>
    <w:rsid w:val="00D26775"/>
    <w:rsid w:val="00D26970"/>
    <w:rsid w:val="00D72CDD"/>
    <w:rsid w:val="00D80977"/>
    <w:rsid w:val="00D87D1A"/>
    <w:rsid w:val="00D9316C"/>
    <w:rsid w:val="00D96F8A"/>
    <w:rsid w:val="00DA676F"/>
    <w:rsid w:val="00DB5A1E"/>
    <w:rsid w:val="00DD7B3A"/>
    <w:rsid w:val="00DE394E"/>
    <w:rsid w:val="00DE69AD"/>
    <w:rsid w:val="00E150C0"/>
    <w:rsid w:val="00E177C5"/>
    <w:rsid w:val="00E32AC4"/>
    <w:rsid w:val="00E35E4A"/>
    <w:rsid w:val="00E36087"/>
    <w:rsid w:val="00E37E70"/>
    <w:rsid w:val="00E768E6"/>
    <w:rsid w:val="00E81E1A"/>
    <w:rsid w:val="00E84F62"/>
    <w:rsid w:val="00E94DBC"/>
    <w:rsid w:val="00EB23A5"/>
    <w:rsid w:val="00EC13C6"/>
    <w:rsid w:val="00EC7EE7"/>
    <w:rsid w:val="00EE5571"/>
    <w:rsid w:val="00F01531"/>
    <w:rsid w:val="00F26B36"/>
    <w:rsid w:val="00F45AB3"/>
    <w:rsid w:val="00F57D9A"/>
    <w:rsid w:val="00F86063"/>
    <w:rsid w:val="00F92FF8"/>
    <w:rsid w:val="00FA12C1"/>
    <w:rsid w:val="00FB22B9"/>
    <w:rsid w:val="00FC54B9"/>
    <w:rsid w:val="00FE026E"/>
    <w:rsid w:val="00FE13FF"/>
    <w:rsid w:val="00FE5C14"/>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64FFCB0-37D7-4405-AE3A-769A0714A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3.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4.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3</TotalTime>
  <Pages>6</Pages>
  <Words>1252</Words>
  <Characters>7140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2026-05-22T02:26:00Z</cp:lastPrinted>
  <dcterms:created xsi:type="dcterms:W3CDTF">2026-06-02T03:23:00Z</dcterms:created>
  <dcterms:modified xsi:type="dcterms:W3CDTF">2026-06-02T03:23:00Z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