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014A9E17" w:rsidR="00E768E6" w:rsidRDefault="00B21AF9" w:rsidP="00EF47F7">
      <w:pPr>
        <w:pStyle w:val="Title"/>
        <w:spacing w:before="0" w:after="0"/>
      </w:pPr>
      <w:r>
        <w:t>E</w:t>
      </w:r>
      <w:r w:rsidR="21CF55F4">
        <w:t>VH</w:t>
      </w:r>
      <w:r>
        <w:t xml:space="preserve"> Clinical Guideline </w:t>
      </w:r>
      <w:r w:rsidR="005D16B1">
        <w:t>5078</w:t>
      </w:r>
      <w:r w:rsidR="005F7F01">
        <w:t>.CC</w:t>
      </w:r>
      <w:r>
        <w:t xml:space="preserve"> for </w:t>
      </w:r>
      <w:proofErr w:type="spellStart"/>
      <w:r w:rsidR="009B609B">
        <w:t>Xenleta</w:t>
      </w:r>
      <w:proofErr w:type="spellEnd"/>
      <w:r w:rsidR="009B609B">
        <w:t xml:space="preserve"> (Lefamulin)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420AA0DA"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5D16B1">
              <w:rPr>
                <w:b w:val="0"/>
                <w:bCs/>
              </w:rPr>
              <w:t>5078</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2DC57117" w:rsidR="00E768E6" w:rsidRDefault="00B21AF9" w:rsidP="006F2FF7">
            <w:pPr>
              <w:pStyle w:val="TitleTable"/>
            </w:pPr>
            <w:r>
              <w:rPr>
                <w:i/>
                <w:iCs/>
              </w:rPr>
              <w:t>© 202</w:t>
            </w:r>
            <w:r w:rsidR="00DD3C18">
              <w:rPr>
                <w:i/>
                <w:iCs/>
              </w:rPr>
              <w:t>3</w:t>
            </w:r>
            <w:r w:rsidR="00B64842">
              <w:rPr>
                <w:i/>
                <w:iCs/>
              </w:rPr>
              <w:t xml:space="preserve"> </w:t>
            </w:r>
            <w:r w:rsidR="002B4658">
              <w:rPr>
                <w:i/>
                <w:iCs/>
              </w:rPr>
              <w:t>-</w:t>
            </w:r>
            <w:r w:rsidR="00B64842">
              <w:rPr>
                <w:i/>
                <w:iCs/>
              </w:rPr>
              <w:t xml:space="preserve"> 202</w:t>
            </w:r>
            <w:r w:rsidR="00DD3C18">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4CC1715B" w:rsidR="00E768E6" w:rsidRPr="006F2FF7" w:rsidRDefault="00B51E9C" w:rsidP="006F2FF7">
            <w:pPr>
              <w:pStyle w:val="TitleTable"/>
              <w:rPr>
                <w:b w:val="0"/>
                <w:bCs/>
              </w:rPr>
            </w:pPr>
            <w:r>
              <w:rPr>
                <w:b w:val="0"/>
                <w:bCs/>
              </w:rPr>
              <w:t>September 2023</w:t>
            </w:r>
          </w:p>
        </w:tc>
        <w:tc>
          <w:tcPr>
            <w:tcW w:w="1686" w:type="pct"/>
          </w:tcPr>
          <w:p w14:paraId="50F6E751" w14:textId="77777777" w:rsidR="00E768E6" w:rsidRDefault="00B21AF9" w:rsidP="006F2FF7">
            <w:pPr>
              <w:pStyle w:val="TitleTable"/>
            </w:pPr>
            <w:r>
              <w:t>Last Revised Date:</w:t>
            </w:r>
          </w:p>
          <w:p w14:paraId="50F6E752" w14:textId="466F6137" w:rsidR="00E768E6" w:rsidRPr="006F2FF7" w:rsidRDefault="00EF47F7" w:rsidP="006F2FF7">
            <w:pPr>
              <w:pStyle w:val="TitleTable"/>
              <w:rPr>
                <w:b w:val="0"/>
                <w:bCs/>
              </w:rPr>
            </w:pPr>
            <w:r>
              <w:rPr>
                <w:b w:val="0"/>
                <w:bCs/>
              </w:rPr>
              <w:t>March</w:t>
            </w:r>
            <w:r w:rsidR="00DD3C18">
              <w:rPr>
                <w:b w:val="0"/>
                <w:bCs/>
              </w:rPr>
              <w:t xml:space="preserve"> 202</w:t>
            </w:r>
            <w:r>
              <w:rPr>
                <w:b w:val="0"/>
                <w:bCs/>
              </w:rPr>
              <w:t>6</w:t>
            </w:r>
          </w:p>
        </w:tc>
        <w:tc>
          <w:tcPr>
            <w:tcW w:w="1459" w:type="pct"/>
          </w:tcPr>
          <w:p w14:paraId="50F6E753" w14:textId="77777777" w:rsidR="00E768E6" w:rsidRDefault="00B21AF9" w:rsidP="006F2FF7">
            <w:pPr>
              <w:pStyle w:val="TitleTable"/>
            </w:pPr>
            <w:r>
              <w:t>Implementation Date:</w:t>
            </w:r>
          </w:p>
          <w:p w14:paraId="50F6E754" w14:textId="2C130AD7" w:rsidR="00E768E6" w:rsidRPr="006F2FF7" w:rsidRDefault="00EF47F7" w:rsidP="006F2FF7">
            <w:pPr>
              <w:pStyle w:val="TitleTable"/>
              <w:rPr>
                <w:b w:val="0"/>
                <w:bCs/>
              </w:rPr>
            </w:pPr>
            <w:r>
              <w:rPr>
                <w:b w:val="0"/>
                <w:bCs/>
              </w:rPr>
              <w:t>June</w:t>
            </w:r>
            <w:r w:rsidR="00191870">
              <w:rPr>
                <w:b w:val="0"/>
                <w:bCs/>
              </w:rPr>
              <w:t xml:space="preserve"> 202</w:t>
            </w:r>
            <w:r>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3C16F142" w14:textId="609AA781" w:rsidR="009F0B0E"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31249174" w:history="1">
            <w:r w:rsidR="009F0B0E" w:rsidRPr="00163FBD">
              <w:rPr>
                <w:rStyle w:val="Hyperlink"/>
                <w:noProof/>
              </w:rPr>
              <w:t>Statement</w:t>
            </w:r>
            <w:r w:rsidR="009F0B0E">
              <w:rPr>
                <w:noProof/>
                <w:webHidden/>
              </w:rPr>
              <w:tab/>
            </w:r>
            <w:r w:rsidR="009F0B0E">
              <w:rPr>
                <w:noProof/>
                <w:webHidden/>
              </w:rPr>
              <w:fldChar w:fldCharType="begin"/>
            </w:r>
            <w:r w:rsidR="009F0B0E">
              <w:rPr>
                <w:noProof/>
                <w:webHidden/>
              </w:rPr>
              <w:instrText xml:space="preserve"> PAGEREF _Toc231249174 \h </w:instrText>
            </w:r>
            <w:r w:rsidR="009F0B0E">
              <w:rPr>
                <w:noProof/>
                <w:webHidden/>
              </w:rPr>
            </w:r>
            <w:r w:rsidR="009F0B0E">
              <w:rPr>
                <w:noProof/>
                <w:webHidden/>
              </w:rPr>
              <w:fldChar w:fldCharType="separate"/>
            </w:r>
            <w:r w:rsidR="009F0B0E">
              <w:rPr>
                <w:noProof/>
                <w:webHidden/>
              </w:rPr>
              <w:t>2</w:t>
            </w:r>
            <w:r w:rsidR="009F0B0E">
              <w:rPr>
                <w:noProof/>
                <w:webHidden/>
              </w:rPr>
              <w:fldChar w:fldCharType="end"/>
            </w:r>
          </w:hyperlink>
        </w:p>
        <w:p w14:paraId="57324425" w14:textId="5E5309D1" w:rsidR="009F0B0E" w:rsidRDefault="009F0B0E">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9175" w:history="1">
            <w:r w:rsidRPr="00163FBD">
              <w:rPr>
                <w:rStyle w:val="Hyperlink"/>
                <w:noProof/>
              </w:rPr>
              <w:t>General Information</w:t>
            </w:r>
            <w:r>
              <w:rPr>
                <w:noProof/>
                <w:webHidden/>
              </w:rPr>
              <w:tab/>
            </w:r>
            <w:r>
              <w:rPr>
                <w:noProof/>
                <w:webHidden/>
              </w:rPr>
              <w:fldChar w:fldCharType="begin"/>
            </w:r>
            <w:r>
              <w:rPr>
                <w:noProof/>
                <w:webHidden/>
              </w:rPr>
              <w:instrText xml:space="preserve"> PAGEREF _Toc231249175 \h </w:instrText>
            </w:r>
            <w:r>
              <w:rPr>
                <w:noProof/>
                <w:webHidden/>
              </w:rPr>
            </w:r>
            <w:r>
              <w:rPr>
                <w:noProof/>
                <w:webHidden/>
              </w:rPr>
              <w:fldChar w:fldCharType="separate"/>
            </w:r>
            <w:r>
              <w:rPr>
                <w:noProof/>
                <w:webHidden/>
              </w:rPr>
              <w:t>2</w:t>
            </w:r>
            <w:r>
              <w:rPr>
                <w:noProof/>
                <w:webHidden/>
              </w:rPr>
              <w:fldChar w:fldCharType="end"/>
            </w:r>
          </w:hyperlink>
        </w:p>
        <w:p w14:paraId="3E6D311C" w14:textId="1F5FFEFE" w:rsidR="009F0B0E" w:rsidRDefault="009F0B0E">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9176" w:history="1">
            <w:r w:rsidRPr="00163FBD">
              <w:rPr>
                <w:rStyle w:val="Hyperlink"/>
                <w:noProof/>
              </w:rPr>
              <w:t>Purpose</w:t>
            </w:r>
            <w:r>
              <w:rPr>
                <w:noProof/>
                <w:webHidden/>
              </w:rPr>
              <w:tab/>
            </w:r>
            <w:r>
              <w:rPr>
                <w:noProof/>
                <w:webHidden/>
              </w:rPr>
              <w:fldChar w:fldCharType="begin"/>
            </w:r>
            <w:r>
              <w:rPr>
                <w:noProof/>
                <w:webHidden/>
              </w:rPr>
              <w:instrText xml:space="preserve"> PAGEREF _Toc231249176 \h </w:instrText>
            </w:r>
            <w:r>
              <w:rPr>
                <w:noProof/>
                <w:webHidden/>
              </w:rPr>
            </w:r>
            <w:r>
              <w:rPr>
                <w:noProof/>
                <w:webHidden/>
              </w:rPr>
              <w:fldChar w:fldCharType="separate"/>
            </w:r>
            <w:r>
              <w:rPr>
                <w:noProof/>
                <w:webHidden/>
              </w:rPr>
              <w:t>2</w:t>
            </w:r>
            <w:r>
              <w:rPr>
                <w:noProof/>
                <w:webHidden/>
              </w:rPr>
              <w:fldChar w:fldCharType="end"/>
            </w:r>
          </w:hyperlink>
        </w:p>
        <w:p w14:paraId="7E01C7B3" w14:textId="0D4AA48E" w:rsidR="009F0B0E" w:rsidRDefault="009F0B0E">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9177" w:history="1">
            <w:r w:rsidRPr="00163FBD">
              <w:rPr>
                <w:rStyle w:val="Hyperlink"/>
                <w:noProof/>
              </w:rPr>
              <w:t>Scope</w:t>
            </w:r>
            <w:r>
              <w:rPr>
                <w:noProof/>
                <w:webHidden/>
              </w:rPr>
              <w:tab/>
            </w:r>
            <w:r>
              <w:rPr>
                <w:noProof/>
                <w:webHidden/>
              </w:rPr>
              <w:fldChar w:fldCharType="begin"/>
            </w:r>
            <w:r>
              <w:rPr>
                <w:noProof/>
                <w:webHidden/>
              </w:rPr>
              <w:instrText xml:space="preserve"> PAGEREF _Toc231249177 \h </w:instrText>
            </w:r>
            <w:r>
              <w:rPr>
                <w:noProof/>
                <w:webHidden/>
              </w:rPr>
            </w:r>
            <w:r>
              <w:rPr>
                <w:noProof/>
                <w:webHidden/>
              </w:rPr>
              <w:fldChar w:fldCharType="separate"/>
            </w:r>
            <w:r>
              <w:rPr>
                <w:noProof/>
                <w:webHidden/>
              </w:rPr>
              <w:t>2</w:t>
            </w:r>
            <w:r>
              <w:rPr>
                <w:noProof/>
                <w:webHidden/>
              </w:rPr>
              <w:fldChar w:fldCharType="end"/>
            </w:r>
          </w:hyperlink>
        </w:p>
        <w:p w14:paraId="255717A3" w14:textId="6BB0C3F1" w:rsidR="009F0B0E" w:rsidRDefault="009F0B0E">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9178" w:history="1">
            <w:r w:rsidRPr="00163FBD">
              <w:rPr>
                <w:rStyle w:val="Hyperlink"/>
                <w:noProof/>
              </w:rPr>
              <w:t>INITIAL REVIEW CRITERIA</w:t>
            </w:r>
            <w:r>
              <w:rPr>
                <w:noProof/>
                <w:webHidden/>
              </w:rPr>
              <w:tab/>
            </w:r>
            <w:r>
              <w:rPr>
                <w:noProof/>
                <w:webHidden/>
              </w:rPr>
              <w:fldChar w:fldCharType="begin"/>
            </w:r>
            <w:r>
              <w:rPr>
                <w:noProof/>
                <w:webHidden/>
              </w:rPr>
              <w:instrText xml:space="preserve"> PAGEREF _Toc231249178 \h </w:instrText>
            </w:r>
            <w:r>
              <w:rPr>
                <w:noProof/>
                <w:webHidden/>
              </w:rPr>
            </w:r>
            <w:r>
              <w:rPr>
                <w:noProof/>
                <w:webHidden/>
              </w:rPr>
              <w:fldChar w:fldCharType="separate"/>
            </w:r>
            <w:r>
              <w:rPr>
                <w:noProof/>
                <w:webHidden/>
              </w:rPr>
              <w:t>2</w:t>
            </w:r>
            <w:r>
              <w:rPr>
                <w:noProof/>
                <w:webHidden/>
              </w:rPr>
              <w:fldChar w:fldCharType="end"/>
            </w:r>
          </w:hyperlink>
        </w:p>
        <w:p w14:paraId="19329A90" w14:textId="50ECE369" w:rsidR="009F0B0E" w:rsidRDefault="009F0B0E">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9179" w:history="1">
            <w:r w:rsidRPr="00163FBD">
              <w:rPr>
                <w:rStyle w:val="Hyperlink"/>
                <w:noProof/>
              </w:rPr>
              <w:t>Reauthorization Criteria</w:t>
            </w:r>
            <w:r>
              <w:rPr>
                <w:noProof/>
                <w:webHidden/>
              </w:rPr>
              <w:tab/>
            </w:r>
            <w:r>
              <w:rPr>
                <w:noProof/>
                <w:webHidden/>
              </w:rPr>
              <w:fldChar w:fldCharType="begin"/>
            </w:r>
            <w:r>
              <w:rPr>
                <w:noProof/>
                <w:webHidden/>
              </w:rPr>
              <w:instrText xml:space="preserve"> PAGEREF _Toc231249179 \h </w:instrText>
            </w:r>
            <w:r>
              <w:rPr>
                <w:noProof/>
                <w:webHidden/>
              </w:rPr>
            </w:r>
            <w:r>
              <w:rPr>
                <w:noProof/>
                <w:webHidden/>
              </w:rPr>
              <w:fldChar w:fldCharType="separate"/>
            </w:r>
            <w:r>
              <w:rPr>
                <w:noProof/>
                <w:webHidden/>
              </w:rPr>
              <w:t>3</w:t>
            </w:r>
            <w:r>
              <w:rPr>
                <w:noProof/>
                <w:webHidden/>
              </w:rPr>
              <w:fldChar w:fldCharType="end"/>
            </w:r>
          </w:hyperlink>
        </w:p>
        <w:p w14:paraId="456051B1" w14:textId="7FEE52B2" w:rsidR="009F0B0E" w:rsidRDefault="009F0B0E">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9180" w:history="1">
            <w:r w:rsidRPr="00163FBD">
              <w:rPr>
                <w:rStyle w:val="Hyperlink"/>
                <w:noProof/>
              </w:rPr>
              <w:t>Approval Durations</w:t>
            </w:r>
            <w:r>
              <w:rPr>
                <w:noProof/>
                <w:webHidden/>
              </w:rPr>
              <w:tab/>
            </w:r>
            <w:r>
              <w:rPr>
                <w:noProof/>
                <w:webHidden/>
              </w:rPr>
              <w:fldChar w:fldCharType="begin"/>
            </w:r>
            <w:r>
              <w:rPr>
                <w:noProof/>
                <w:webHidden/>
              </w:rPr>
              <w:instrText xml:space="preserve"> PAGEREF _Toc231249180 \h </w:instrText>
            </w:r>
            <w:r>
              <w:rPr>
                <w:noProof/>
                <w:webHidden/>
              </w:rPr>
            </w:r>
            <w:r>
              <w:rPr>
                <w:noProof/>
                <w:webHidden/>
              </w:rPr>
              <w:fldChar w:fldCharType="separate"/>
            </w:r>
            <w:r>
              <w:rPr>
                <w:noProof/>
                <w:webHidden/>
              </w:rPr>
              <w:t>3</w:t>
            </w:r>
            <w:r>
              <w:rPr>
                <w:noProof/>
                <w:webHidden/>
              </w:rPr>
              <w:fldChar w:fldCharType="end"/>
            </w:r>
          </w:hyperlink>
        </w:p>
        <w:p w14:paraId="1B2AC2CD" w14:textId="6CB14C73" w:rsidR="009F0B0E" w:rsidRDefault="009F0B0E">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9181" w:history="1">
            <w:r w:rsidRPr="00163FBD">
              <w:rPr>
                <w:rStyle w:val="Hyperlink"/>
                <w:noProof/>
              </w:rPr>
              <w:t>Coding and Standards</w:t>
            </w:r>
            <w:r>
              <w:rPr>
                <w:noProof/>
                <w:webHidden/>
              </w:rPr>
              <w:tab/>
            </w:r>
            <w:r>
              <w:rPr>
                <w:noProof/>
                <w:webHidden/>
              </w:rPr>
              <w:fldChar w:fldCharType="begin"/>
            </w:r>
            <w:r>
              <w:rPr>
                <w:noProof/>
                <w:webHidden/>
              </w:rPr>
              <w:instrText xml:space="preserve"> PAGEREF _Toc231249181 \h </w:instrText>
            </w:r>
            <w:r>
              <w:rPr>
                <w:noProof/>
                <w:webHidden/>
              </w:rPr>
            </w:r>
            <w:r>
              <w:rPr>
                <w:noProof/>
                <w:webHidden/>
              </w:rPr>
              <w:fldChar w:fldCharType="separate"/>
            </w:r>
            <w:r>
              <w:rPr>
                <w:noProof/>
                <w:webHidden/>
              </w:rPr>
              <w:t>3</w:t>
            </w:r>
            <w:r>
              <w:rPr>
                <w:noProof/>
                <w:webHidden/>
              </w:rPr>
              <w:fldChar w:fldCharType="end"/>
            </w:r>
          </w:hyperlink>
        </w:p>
        <w:p w14:paraId="52800199" w14:textId="5D61020E" w:rsidR="009F0B0E" w:rsidRDefault="009F0B0E">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9182" w:history="1">
            <w:r w:rsidRPr="00163FBD">
              <w:rPr>
                <w:rStyle w:val="Hyperlink"/>
                <w:noProof/>
              </w:rPr>
              <w:t>Codes</w:t>
            </w:r>
            <w:r>
              <w:rPr>
                <w:noProof/>
                <w:webHidden/>
              </w:rPr>
              <w:tab/>
            </w:r>
            <w:r>
              <w:rPr>
                <w:noProof/>
                <w:webHidden/>
              </w:rPr>
              <w:fldChar w:fldCharType="begin"/>
            </w:r>
            <w:r>
              <w:rPr>
                <w:noProof/>
                <w:webHidden/>
              </w:rPr>
              <w:instrText xml:space="preserve"> PAGEREF _Toc231249182 \h </w:instrText>
            </w:r>
            <w:r>
              <w:rPr>
                <w:noProof/>
                <w:webHidden/>
              </w:rPr>
            </w:r>
            <w:r>
              <w:rPr>
                <w:noProof/>
                <w:webHidden/>
              </w:rPr>
              <w:fldChar w:fldCharType="separate"/>
            </w:r>
            <w:r>
              <w:rPr>
                <w:noProof/>
                <w:webHidden/>
              </w:rPr>
              <w:t>3</w:t>
            </w:r>
            <w:r>
              <w:rPr>
                <w:noProof/>
                <w:webHidden/>
              </w:rPr>
              <w:fldChar w:fldCharType="end"/>
            </w:r>
          </w:hyperlink>
        </w:p>
        <w:p w14:paraId="13CA1D3B" w14:textId="19BAFD65" w:rsidR="009F0B0E" w:rsidRDefault="009F0B0E">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9183" w:history="1">
            <w:r w:rsidRPr="00163FBD">
              <w:rPr>
                <w:rStyle w:val="Hyperlink"/>
                <w:noProof/>
              </w:rPr>
              <w:t>Applicable Lines of Business</w:t>
            </w:r>
            <w:r>
              <w:rPr>
                <w:noProof/>
                <w:webHidden/>
              </w:rPr>
              <w:tab/>
            </w:r>
            <w:r>
              <w:rPr>
                <w:noProof/>
                <w:webHidden/>
              </w:rPr>
              <w:fldChar w:fldCharType="begin"/>
            </w:r>
            <w:r>
              <w:rPr>
                <w:noProof/>
                <w:webHidden/>
              </w:rPr>
              <w:instrText xml:space="preserve"> PAGEREF _Toc231249183 \h </w:instrText>
            </w:r>
            <w:r>
              <w:rPr>
                <w:noProof/>
                <w:webHidden/>
              </w:rPr>
            </w:r>
            <w:r>
              <w:rPr>
                <w:noProof/>
                <w:webHidden/>
              </w:rPr>
              <w:fldChar w:fldCharType="separate"/>
            </w:r>
            <w:r>
              <w:rPr>
                <w:noProof/>
                <w:webHidden/>
              </w:rPr>
              <w:t>3</w:t>
            </w:r>
            <w:r>
              <w:rPr>
                <w:noProof/>
                <w:webHidden/>
              </w:rPr>
              <w:fldChar w:fldCharType="end"/>
            </w:r>
          </w:hyperlink>
        </w:p>
        <w:p w14:paraId="4BD02152" w14:textId="1C568639" w:rsidR="009F0B0E" w:rsidRDefault="009F0B0E">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9184" w:history="1">
            <w:r w:rsidRPr="00163FBD">
              <w:rPr>
                <w:rStyle w:val="Hyperlink"/>
                <w:noProof/>
              </w:rPr>
              <w:t>Background</w:t>
            </w:r>
            <w:r>
              <w:rPr>
                <w:noProof/>
                <w:webHidden/>
              </w:rPr>
              <w:tab/>
            </w:r>
            <w:r>
              <w:rPr>
                <w:noProof/>
                <w:webHidden/>
              </w:rPr>
              <w:fldChar w:fldCharType="begin"/>
            </w:r>
            <w:r>
              <w:rPr>
                <w:noProof/>
                <w:webHidden/>
              </w:rPr>
              <w:instrText xml:space="preserve"> PAGEREF _Toc231249184 \h </w:instrText>
            </w:r>
            <w:r>
              <w:rPr>
                <w:noProof/>
                <w:webHidden/>
              </w:rPr>
            </w:r>
            <w:r>
              <w:rPr>
                <w:noProof/>
                <w:webHidden/>
              </w:rPr>
              <w:fldChar w:fldCharType="separate"/>
            </w:r>
            <w:r>
              <w:rPr>
                <w:noProof/>
                <w:webHidden/>
              </w:rPr>
              <w:t>4</w:t>
            </w:r>
            <w:r>
              <w:rPr>
                <w:noProof/>
                <w:webHidden/>
              </w:rPr>
              <w:fldChar w:fldCharType="end"/>
            </w:r>
          </w:hyperlink>
        </w:p>
        <w:p w14:paraId="0A9B2C2C" w14:textId="35DC41BA" w:rsidR="009F0B0E" w:rsidRDefault="009F0B0E">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9185" w:history="1">
            <w:r w:rsidRPr="00163FBD">
              <w:rPr>
                <w:rStyle w:val="Hyperlink"/>
                <w:noProof/>
              </w:rPr>
              <w:t>Definitions</w:t>
            </w:r>
            <w:r>
              <w:rPr>
                <w:noProof/>
                <w:webHidden/>
              </w:rPr>
              <w:tab/>
            </w:r>
            <w:r>
              <w:rPr>
                <w:noProof/>
                <w:webHidden/>
              </w:rPr>
              <w:fldChar w:fldCharType="begin"/>
            </w:r>
            <w:r>
              <w:rPr>
                <w:noProof/>
                <w:webHidden/>
              </w:rPr>
              <w:instrText xml:space="preserve"> PAGEREF _Toc231249185 \h </w:instrText>
            </w:r>
            <w:r>
              <w:rPr>
                <w:noProof/>
                <w:webHidden/>
              </w:rPr>
            </w:r>
            <w:r>
              <w:rPr>
                <w:noProof/>
                <w:webHidden/>
              </w:rPr>
              <w:fldChar w:fldCharType="separate"/>
            </w:r>
            <w:r>
              <w:rPr>
                <w:noProof/>
                <w:webHidden/>
              </w:rPr>
              <w:t>4</w:t>
            </w:r>
            <w:r>
              <w:rPr>
                <w:noProof/>
                <w:webHidden/>
              </w:rPr>
              <w:fldChar w:fldCharType="end"/>
            </w:r>
          </w:hyperlink>
        </w:p>
        <w:p w14:paraId="7DFA3E3E" w14:textId="6886549C" w:rsidR="009F0B0E" w:rsidRDefault="009F0B0E">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9186" w:history="1">
            <w:r w:rsidRPr="00163FBD">
              <w:rPr>
                <w:rStyle w:val="Hyperlink"/>
                <w:noProof/>
              </w:rPr>
              <w:t>Policy History</w:t>
            </w:r>
            <w:r>
              <w:rPr>
                <w:noProof/>
                <w:webHidden/>
              </w:rPr>
              <w:tab/>
            </w:r>
            <w:r>
              <w:rPr>
                <w:noProof/>
                <w:webHidden/>
              </w:rPr>
              <w:fldChar w:fldCharType="begin"/>
            </w:r>
            <w:r>
              <w:rPr>
                <w:noProof/>
                <w:webHidden/>
              </w:rPr>
              <w:instrText xml:space="preserve"> PAGEREF _Toc231249186 \h </w:instrText>
            </w:r>
            <w:r>
              <w:rPr>
                <w:noProof/>
                <w:webHidden/>
              </w:rPr>
            </w:r>
            <w:r>
              <w:rPr>
                <w:noProof/>
                <w:webHidden/>
              </w:rPr>
              <w:fldChar w:fldCharType="separate"/>
            </w:r>
            <w:r>
              <w:rPr>
                <w:noProof/>
                <w:webHidden/>
              </w:rPr>
              <w:t>4</w:t>
            </w:r>
            <w:r>
              <w:rPr>
                <w:noProof/>
                <w:webHidden/>
              </w:rPr>
              <w:fldChar w:fldCharType="end"/>
            </w:r>
          </w:hyperlink>
        </w:p>
        <w:p w14:paraId="0432BB73" w14:textId="4310A5DD" w:rsidR="009F0B0E" w:rsidRDefault="009F0B0E">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9187" w:history="1">
            <w:r w:rsidRPr="00163FBD">
              <w:rPr>
                <w:rStyle w:val="Hyperlink"/>
                <w:noProof/>
              </w:rPr>
              <w:t>Legal and Compliance</w:t>
            </w:r>
            <w:r>
              <w:rPr>
                <w:noProof/>
                <w:webHidden/>
              </w:rPr>
              <w:tab/>
            </w:r>
            <w:r>
              <w:rPr>
                <w:noProof/>
                <w:webHidden/>
              </w:rPr>
              <w:fldChar w:fldCharType="begin"/>
            </w:r>
            <w:r>
              <w:rPr>
                <w:noProof/>
                <w:webHidden/>
              </w:rPr>
              <w:instrText xml:space="preserve"> PAGEREF _Toc231249187 \h </w:instrText>
            </w:r>
            <w:r>
              <w:rPr>
                <w:noProof/>
                <w:webHidden/>
              </w:rPr>
            </w:r>
            <w:r>
              <w:rPr>
                <w:noProof/>
                <w:webHidden/>
              </w:rPr>
              <w:fldChar w:fldCharType="separate"/>
            </w:r>
            <w:r>
              <w:rPr>
                <w:noProof/>
                <w:webHidden/>
              </w:rPr>
              <w:t>4</w:t>
            </w:r>
            <w:r>
              <w:rPr>
                <w:noProof/>
                <w:webHidden/>
              </w:rPr>
              <w:fldChar w:fldCharType="end"/>
            </w:r>
          </w:hyperlink>
        </w:p>
        <w:p w14:paraId="294DE60C" w14:textId="59BF4A93" w:rsidR="009F0B0E" w:rsidRDefault="009F0B0E">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9188" w:history="1">
            <w:r w:rsidRPr="00163FBD">
              <w:rPr>
                <w:rStyle w:val="Hyperlink"/>
                <w:noProof/>
              </w:rPr>
              <w:t>Guideline Approval</w:t>
            </w:r>
            <w:r>
              <w:rPr>
                <w:noProof/>
                <w:webHidden/>
              </w:rPr>
              <w:tab/>
            </w:r>
            <w:r>
              <w:rPr>
                <w:noProof/>
                <w:webHidden/>
              </w:rPr>
              <w:fldChar w:fldCharType="begin"/>
            </w:r>
            <w:r>
              <w:rPr>
                <w:noProof/>
                <w:webHidden/>
              </w:rPr>
              <w:instrText xml:space="preserve"> PAGEREF _Toc231249188 \h </w:instrText>
            </w:r>
            <w:r>
              <w:rPr>
                <w:noProof/>
                <w:webHidden/>
              </w:rPr>
            </w:r>
            <w:r>
              <w:rPr>
                <w:noProof/>
                <w:webHidden/>
              </w:rPr>
              <w:fldChar w:fldCharType="separate"/>
            </w:r>
            <w:r>
              <w:rPr>
                <w:noProof/>
                <w:webHidden/>
              </w:rPr>
              <w:t>4</w:t>
            </w:r>
            <w:r>
              <w:rPr>
                <w:noProof/>
                <w:webHidden/>
              </w:rPr>
              <w:fldChar w:fldCharType="end"/>
            </w:r>
          </w:hyperlink>
        </w:p>
        <w:p w14:paraId="2C7F27D6" w14:textId="0A377BFE" w:rsidR="009F0B0E" w:rsidRDefault="009F0B0E">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31249189" w:history="1">
            <w:r w:rsidRPr="00163FBD">
              <w:rPr>
                <w:rStyle w:val="Hyperlink"/>
                <w:noProof/>
              </w:rPr>
              <w:t>Committee</w:t>
            </w:r>
            <w:r>
              <w:rPr>
                <w:noProof/>
                <w:webHidden/>
              </w:rPr>
              <w:tab/>
            </w:r>
            <w:r>
              <w:rPr>
                <w:noProof/>
                <w:webHidden/>
              </w:rPr>
              <w:fldChar w:fldCharType="begin"/>
            </w:r>
            <w:r>
              <w:rPr>
                <w:noProof/>
                <w:webHidden/>
              </w:rPr>
              <w:instrText xml:space="preserve"> PAGEREF _Toc231249189 \h </w:instrText>
            </w:r>
            <w:r>
              <w:rPr>
                <w:noProof/>
                <w:webHidden/>
              </w:rPr>
            </w:r>
            <w:r>
              <w:rPr>
                <w:noProof/>
                <w:webHidden/>
              </w:rPr>
              <w:fldChar w:fldCharType="separate"/>
            </w:r>
            <w:r>
              <w:rPr>
                <w:noProof/>
                <w:webHidden/>
              </w:rPr>
              <w:t>4</w:t>
            </w:r>
            <w:r>
              <w:rPr>
                <w:noProof/>
                <w:webHidden/>
              </w:rPr>
              <w:fldChar w:fldCharType="end"/>
            </w:r>
          </w:hyperlink>
        </w:p>
        <w:p w14:paraId="25280F8A" w14:textId="479A2E06" w:rsidR="009F0B0E" w:rsidRDefault="009F0B0E">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9190" w:history="1">
            <w:r w:rsidRPr="00163FBD">
              <w:rPr>
                <w:rStyle w:val="Hyperlink"/>
                <w:noProof/>
              </w:rPr>
              <w:t>Disclaimer</w:t>
            </w:r>
            <w:r>
              <w:rPr>
                <w:noProof/>
                <w:webHidden/>
              </w:rPr>
              <w:tab/>
            </w:r>
            <w:r>
              <w:rPr>
                <w:noProof/>
                <w:webHidden/>
              </w:rPr>
              <w:fldChar w:fldCharType="begin"/>
            </w:r>
            <w:r>
              <w:rPr>
                <w:noProof/>
                <w:webHidden/>
              </w:rPr>
              <w:instrText xml:space="preserve"> PAGEREF _Toc231249190 \h </w:instrText>
            </w:r>
            <w:r>
              <w:rPr>
                <w:noProof/>
                <w:webHidden/>
              </w:rPr>
            </w:r>
            <w:r>
              <w:rPr>
                <w:noProof/>
                <w:webHidden/>
              </w:rPr>
              <w:fldChar w:fldCharType="separate"/>
            </w:r>
            <w:r>
              <w:rPr>
                <w:noProof/>
                <w:webHidden/>
              </w:rPr>
              <w:t>4</w:t>
            </w:r>
            <w:r>
              <w:rPr>
                <w:noProof/>
                <w:webHidden/>
              </w:rPr>
              <w:fldChar w:fldCharType="end"/>
            </w:r>
          </w:hyperlink>
        </w:p>
        <w:p w14:paraId="0CE8EFF6" w14:textId="56D877C4" w:rsidR="009F0B0E" w:rsidRDefault="009F0B0E">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9191" w:history="1">
            <w:r w:rsidRPr="00163FBD">
              <w:rPr>
                <w:rStyle w:val="Hyperlink"/>
                <w:noProof/>
              </w:rPr>
              <w:t>References</w:t>
            </w:r>
            <w:r>
              <w:rPr>
                <w:noProof/>
                <w:webHidden/>
              </w:rPr>
              <w:tab/>
            </w:r>
            <w:r>
              <w:rPr>
                <w:noProof/>
                <w:webHidden/>
              </w:rPr>
              <w:fldChar w:fldCharType="begin"/>
            </w:r>
            <w:r>
              <w:rPr>
                <w:noProof/>
                <w:webHidden/>
              </w:rPr>
              <w:instrText xml:space="preserve"> PAGEREF _Toc231249191 \h </w:instrText>
            </w:r>
            <w:r>
              <w:rPr>
                <w:noProof/>
                <w:webHidden/>
              </w:rPr>
            </w:r>
            <w:r>
              <w:rPr>
                <w:noProof/>
                <w:webHidden/>
              </w:rPr>
              <w:fldChar w:fldCharType="separate"/>
            </w:r>
            <w:r>
              <w:rPr>
                <w:noProof/>
                <w:webHidden/>
              </w:rPr>
              <w:t>6</w:t>
            </w:r>
            <w:r>
              <w:rPr>
                <w:noProof/>
                <w:webHidden/>
              </w:rPr>
              <w:fldChar w:fldCharType="end"/>
            </w:r>
          </w:hyperlink>
        </w:p>
        <w:p w14:paraId="1A51577D" w14:textId="5F4A6723"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31249174"/>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31249175"/>
      <w:r>
        <w:t>General Information</w:t>
      </w:r>
      <w:bookmarkEnd w:id="2"/>
      <w:bookmarkEnd w:id="3"/>
    </w:p>
    <w:p w14:paraId="08B7F753" w14:textId="24F862FC" w:rsidR="00542876" w:rsidRDefault="00542876" w:rsidP="00EF47F7">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EF47F7">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31249176"/>
      <w:r>
        <w:t>Purpose</w:t>
      </w:r>
      <w:bookmarkEnd w:id="4"/>
      <w:bookmarkEnd w:id="5"/>
    </w:p>
    <w:p w14:paraId="01CC9B8E" w14:textId="76C8B4F9"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w:t>
      </w:r>
      <w:r w:rsidR="00CD4735">
        <w:rPr>
          <w:color w:val="000000" w:themeColor="text1"/>
        </w:rPr>
        <w:t xml:space="preserve"> authorization process</w:t>
      </w:r>
      <w:r w:rsidRPr="7A2049BD">
        <w:rPr>
          <w:color w:val="000000" w:themeColor="text1"/>
        </w:rPr>
        <w:t xml:space="preserve"> for the following drug: </w:t>
      </w:r>
      <w:proofErr w:type="spellStart"/>
      <w:r w:rsidR="009B609B">
        <w:rPr>
          <w:color w:val="000000" w:themeColor="text1"/>
        </w:rPr>
        <w:t>Xenleta</w:t>
      </w:r>
      <w:proofErr w:type="spellEnd"/>
      <w:r w:rsidR="009B609B">
        <w:rPr>
          <w:color w:val="000000" w:themeColor="text1"/>
        </w:rPr>
        <w:t xml:space="preserve"> (</w:t>
      </w:r>
      <w:proofErr w:type="spellStart"/>
      <w:r w:rsidR="009B609B">
        <w:rPr>
          <w:color w:val="000000" w:themeColor="text1"/>
        </w:rPr>
        <w:t>lefamulin</w:t>
      </w:r>
      <w:proofErr w:type="spellEnd"/>
      <w:r w:rsidR="009B609B">
        <w:rPr>
          <w:color w:val="000000" w:themeColor="text1"/>
        </w:rPr>
        <w:t>)</w:t>
      </w:r>
      <w:r w:rsidRPr="7A2049BD">
        <w:rPr>
          <w:color w:val="000000" w:themeColor="text1"/>
        </w:rPr>
        <w:t>.</w:t>
      </w:r>
    </w:p>
    <w:p w14:paraId="50F6E761" w14:textId="77777777" w:rsidR="00E768E6" w:rsidRDefault="00B21AF9">
      <w:pPr>
        <w:pStyle w:val="Heading2"/>
      </w:pPr>
      <w:bookmarkStart w:id="7" w:name="_Toc231249177"/>
      <w:r>
        <w:t>Scope</w:t>
      </w:r>
      <w:bookmarkEnd w:id="6"/>
      <w:bookmarkEnd w:id="7"/>
    </w:p>
    <w:p w14:paraId="0C5475CC" w14:textId="77777777"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31249178"/>
      <w:bookmarkEnd w:id="8"/>
      <w:r>
        <w:t>I</w:t>
      </w:r>
      <w:bookmarkEnd w:id="9"/>
      <w:r w:rsidR="008541B7">
        <w:t>NITIAL REVIEW CRITERIA</w:t>
      </w:r>
      <w:bookmarkEnd w:id="10"/>
    </w:p>
    <w:p w14:paraId="5DFD4335" w14:textId="7B24CD66" w:rsidR="002B581F" w:rsidRPr="002B581F" w:rsidRDefault="002B581F" w:rsidP="002B581F">
      <w:pPr>
        <w:rPr>
          <w:color w:val="FF0000"/>
        </w:rPr>
      </w:pPr>
      <w:r>
        <w:rPr>
          <w:color w:val="000000"/>
        </w:rPr>
        <w:t xml:space="preserve">The request must meet </w:t>
      </w:r>
      <w:proofErr w:type="gramStart"/>
      <w:r>
        <w:rPr>
          <w:color w:val="000000"/>
        </w:rPr>
        <w:t>all of</w:t>
      </w:r>
      <w:proofErr w:type="gramEnd"/>
      <w:r>
        <w:rPr>
          <w:color w:val="000000"/>
        </w:rPr>
        <w:t xml:space="preserve"> the criteria below. </w:t>
      </w:r>
    </w:p>
    <w:p w14:paraId="21823942" w14:textId="231CAF8F" w:rsidR="009B609B" w:rsidRPr="009B609B" w:rsidRDefault="009B609B" w:rsidP="009B609B">
      <w:pPr>
        <w:pStyle w:val="ListParagraph"/>
        <w:numPr>
          <w:ilvl w:val="0"/>
          <w:numId w:val="30"/>
        </w:numPr>
        <w:rPr>
          <w:color w:val="000000"/>
        </w:rPr>
      </w:pPr>
      <w:bookmarkStart w:id="11" w:name="59e66837-f347-4cba-ad06-9c8898541074"/>
      <w:r w:rsidRPr="009B609B">
        <w:rPr>
          <w:color w:val="000000"/>
        </w:rPr>
        <w:t>Must be prescribed at a dose within the manufacturer’s dosing guidelines (based on diagnosis, weight, etc.) listed in the FDA</w:t>
      </w:r>
      <w:r w:rsidR="00B96491">
        <w:rPr>
          <w:color w:val="000000"/>
        </w:rPr>
        <w:t>-</w:t>
      </w:r>
      <w:r w:rsidRPr="009B609B">
        <w:rPr>
          <w:color w:val="000000"/>
        </w:rPr>
        <w:t xml:space="preserve">approved labeling  </w:t>
      </w:r>
    </w:p>
    <w:p w14:paraId="47AC08D4" w14:textId="57930A9E" w:rsidR="009B609B" w:rsidRPr="009B609B" w:rsidRDefault="009B609B" w:rsidP="009B609B">
      <w:pPr>
        <w:pStyle w:val="ListParagraph"/>
        <w:numPr>
          <w:ilvl w:val="0"/>
          <w:numId w:val="30"/>
        </w:numPr>
        <w:rPr>
          <w:color w:val="000000"/>
        </w:rPr>
      </w:pPr>
      <w:r w:rsidRPr="009B609B">
        <w:rPr>
          <w:color w:val="000000"/>
        </w:rPr>
        <w:t xml:space="preserve">Must be prescribed by, or in consultation with, an infectious disease specialist </w:t>
      </w:r>
    </w:p>
    <w:p w14:paraId="5AE544D0" w14:textId="0527B958" w:rsidR="009B609B" w:rsidRPr="009B609B" w:rsidRDefault="009B609B" w:rsidP="009B609B">
      <w:pPr>
        <w:pStyle w:val="ListParagraph"/>
        <w:numPr>
          <w:ilvl w:val="0"/>
          <w:numId w:val="30"/>
        </w:numPr>
        <w:rPr>
          <w:color w:val="000000"/>
        </w:rPr>
      </w:pPr>
      <w:r w:rsidRPr="009B609B">
        <w:rPr>
          <w:color w:val="000000"/>
        </w:rPr>
        <w:t xml:space="preserve">Must be at least </w:t>
      </w:r>
      <w:r w:rsidR="00F92374">
        <w:rPr>
          <w:color w:val="000000"/>
        </w:rPr>
        <w:t xml:space="preserve">age </w:t>
      </w:r>
      <w:r w:rsidRPr="009B609B">
        <w:rPr>
          <w:color w:val="000000"/>
        </w:rPr>
        <w:t>18</w:t>
      </w:r>
    </w:p>
    <w:p w14:paraId="63F10957" w14:textId="77777777" w:rsidR="009B609B" w:rsidRPr="009B609B" w:rsidRDefault="009B609B" w:rsidP="009B609B">
      <w:pPr>
        <w:pStyle w:val="ListParagraph"/>
        <w:numPr>
          <w:ilvl w:val="0"/>
          <w:numId w:val="30"/>
        </w:numPr>
        <w:rPr>
          <w:color w:val="000000"/>
        </w:rPr>
      </w:pPr>
      <w:r w:rsidRPr="009B609B">
        <w:rPr>
          <w:color w:val="000000"/>
        </w:rPr>
        <w:t xml:space="preserve">Must have a diagnosis of pneumonia confirmed with chest x-ray, chest radiograph or other imaging technique. </w:t>
      </w:r>
    </w:p>
    <w:p w14:paraId="72D3B8C4" w14:textId="659C99C6" w:rsidR="009B609B" w:rsidRPr="009B609B" w:rsidRDefault="009B609B" w:rsidP="009B609B">
      <w:pPr>
        <w:pStyle w:val="ListParagraph"/>
        <w:numPr>
          <w:ilvl w:val="0"/>
          <w:numId w:val="30"/>
        </w:numPr>
        <w:rPr>
          <w:color w:val="000000"/>
        </w:rPr>
      </w:pPr>
      <w:r w:rsidRPr="009B609B">
        <w:rPr>
          <w:color w:val="000000"/>
        </w:rPr>
        <w:t xml:space="preserve">Must have a diagnosis of </w:t>
      </w:r>
      <w:r w:rsidR="00FF7F41">
        <w:rPr>
          <w:color w:val="000000"/>
        </w:rPr>
        <w:t>community-acquired bacterial pneumonia (</w:t>
      </w:r>
      <w:r w:rsidRPr="009B609B">
        <w:rPr>
          <w:color w:val="000000"/>
        </w:rPr>
        <w:t>CABP</w:t>
      </w:r>
      <w:r w:rsidR="00FF7F41">
        <w:rPr>
          <w:color w:val="000000"/>
        </w:rPr>
        <w:t>)</w:t>
      </w:r>
      <w:r w:rsidRPr="009B609B">
        <w:rPr>
          <w:color w:val="000000"/>
        </w:rPr>
        <w:t xml:space="preserve"> that is possibly caused by the following microorganisms: </w:t>
      </w:r>
    </w:p>
    <w:p w14:paraId="01F0AB11" w14:textId="77777777" w:rsidR="009B609B" w:rsidRPr="00CD4735" w:rsidRDefault="009B609B" w:rsidP="00CD4735">
      <w:pPr>
        <w:pStyle w:val="ListParagraph"/>
        <w:numPr>
          <w:ilvl w:val="1"/>
          <w:numId w:val="30"/>
        </w:numPr>
        <w:rPr>
          <w:i/>
          <w:iCs/>
          <w:color w:val="000000"/>
        </w:rPr>
      </w:pPr>
      <w:r w:rsidRPr="00CD4735">
        <w:rPr>
          <w:i/>
          <w:iCs/>
          <w:color w:val="000000"/>
        </w:rPr>
        <w:t xml:space="preserve">Streptococcus pneumoniae </w:t>
      </w:r>
    </w:p>
    <w:p w14:paraId="7DBD4D23" w14:textId="77777777" w:rsidR="009B609B" w:rsidRPr="00CD4735" w:rsidRDefault="009B609B" w:rsidP="00CD4735">
      <w:pPr>
        <w:pStyle w:val="ListParagraph"/>
        <w:numPr>
          <w:ilvl w:val="1"/>
          <w:numId w:val="30"/>
        </w:numPr>
        <w:rPr>
          <w:i/>
          <w:iCs/>
          <w:color w:val="000000"/>
        </w:rPr>
      </w:pPr>
      <w:r w:rsidRPr="00CD4735">
        <w:rPr>
          <w:i/>
          <w:iCs/>
          <w:color w:val="000000"/>
        </w:rPr>
        <w:t xml:space="preserve">Staphylococcus aureus (methicillin-susceptible isolates) </w:t>
      </w:r>
    </w:p>
    <w:p w14:paraId="16395431" w14:textId="77777777" w:rsidR="009B609B" w:rsidRPr="00CD4735" w:rsidRDefault="009B609B" w:rsidP="00CD4735">
      <w:pPr>
        <w:pStyle w:val="ListParagraph"/>
        <w:numPr>
          <w:ilvl w:val="1"/>
          <w:numId w:val="30"/>
        </w:numPr>
        <w:rPr>
          <w:i/>
          <w:iCs/>
          <w:color w:val="000000"/>
        </w:rPr>
      </w:pPr>
      <w:proofErr w:type="spellStart"/>
      <w:r w:rsidRPr="00CD4735">
        <w:rPr>
          <w:i/>
          <w:iCs/>
          <w:color w:val="000000"/>
        </w:rPr>
        <w:t>Haemophilus</w:t>
      </w:r>
      <w:proofErr w:type="spellEnd"/>
      <w:r w:rsidRPr="00CD4735">
        <w:rPr>
          <w:i/>
          <w:iCs/>
          <w:color w:val="000000"/>
        </w:rPr>
        <w:t xml:space="preserve"> influenzae </w:t>
      </w:r>
    </w:p>
    <w:p w14:paraId="6052A292" w14:textId="77777777" w:rsidR="009B609B" w:rsidRPr="00CD4735" w:rsidRDefault="009B609B" w:rsidP="00CD4735">
      <w:pPr>
        <w:pStyle w:val="ListParagraph"/>
        <w:numPr>
          <w:ilvl w:val="1"/>
          <w:numId w:val="30"/>
        </w:numPr>
        <w:rPr>
          <w:i/>
          <w:iCs/>
          <w:color w:val="000000"/>
        </w:rPr>
      </w:pPr>
      <w:r w:rsidRPr="00CD4735">
        <w:rPr>
          <w:i/>
          <w:iCs/>
          <w:color w:val="000000"/>
        </w:rPr>
        <w:t xml:space="preserve">Legionella pneumophila </w:t>
      </w:r>
    </w:p>
    <w:p w14:paraId="21D74B66" w14:textId="77777777" w:rsidR="009B609B" w:rsidRPr="00CD4735" w:rsidRDefault="009B609B" w:rsidP="00CD4735">
      <w:pPr>
        <w:pStyle w:val="ListParagraph"/>
        <w:numPr>
          <w:ilvl w:val="1"/>
          <w:numId w:val="30"/>
        </w:numPr>
        <w:rPr>
          <w:i/>
          <w:iCs/>
          <w:color w:val="000000"/>
        </w:rPr>
      </w:pPr>
      <w:r w:rsidRPr="00CD4735">
        <w:rPr>
          <w:i/>
          <w:iCs/>
          <w:color w:val="000000"/>
        </w:rPr>
        <w:t xml:space="preserve">Mycoplasma pneumoniae </w:t>
      </w:r>
    </w:p>
    <w:p w14:paraId="19585153" w14:textId="77777777" w:rsidR="009B609B" w:rsidRPr="00CD4735" w:rsidRDefault="009B609B" w:rsidP="00CD4735">
      <w:pPr>
        <w:pStyle w:val="ListParagraph"/>
        <w:numPr>
          <w:ilvl w:val="1"/>
          <w:numId w:val="30"/>
        </w:numPr>
        <w:rPr>
          <w:i/>
          <w:iCs/>
          <w:color w:val="000000"/>
        </w:rPr>
      </w:pPr>
      <w:r w:rsidRPr="00CD4735">
        <w:rPr>
          <w:i/>
          <w:iCs/>
          <w:color w:val="000000"/>
        </w:rPr>
        <w:t xml:space="preserve">Chlamydophila pneumoniae </w:t>
      </w:r>
    </w:p>
    <w:p w14:paraId="3A6EC1B3" w14:textId="77777777" w:rsidR="009B609B" w:rsidRPr="009B609B" w:rsidRDefault="009B609B" w:rsidP="009B609B">
      <w:pPr>
        <w:pStyle w:val="ListParagraph"/>
        <w:numPr>
          <w:ilvl w:val="0"/>
          <w:numId w:val="30"/>
        </w:numPr>
        <w:rPr>
          <w:color w:val="000000"/>
        </w:rPr>
      </w:pPr>
      <w:r w:rsidRPr="009B609B">
        <w:rPr>
          <w:color w:val="000000"/>
        </w:rPr>
        <w:t xml:space="preserve">Must meet ONE of the following:  </w:t>
      </w:r>
    </w:p>
    <w:p w14:paraId="08F12FC9" w14:textId="6E181034" w:rsidR="009B609B" w:rsidRDefault="009B609B" w:rsidP="009B609B">
      <w:pPr>
        <w:pStyle w:val="ListParagraph"/>
        <w:numPr>
          <w:ilvl w:val="1"/>
          <w:numId w:val="30"/>
        </w:numPr>
        <w:rPr>
          <w:color w:val="000000"/>
        </w:rPr>
      </w:pPr>
      <w:r w:rsidRPr="009B609B">
        <w:rPr>
          <w:color w:val="000000"/>
        </w:rPr>
        <w:lastRenderedPageBreak/>
        <w:t xml:space="preserve">Culture and sensitivity report indicates pathogenic organism(s) resistance to at least TWO </w:t>
      </w:r>
      <w:proofErr w:type="gramStart"/>
      <w:r w:rsidRPr="009B609B">
        <w:rPr>
          <w:color w:val="000000"/>
        </w:rPr>
        <w:t>standard</w:t>
      </w:r>
      <w:proofErr w:type="gramEnd"/>
      <w:r w:rsidRPr="009B609B">
        <w:rPr>
          <w:color w:val="000000"/>
        </w:rPr>
        <w:t xml:space="preserve"> of care medications for CABP (e.g., amoxicillin, azithromycin, ceftriaxone, doxycycline, levofloxacin, linezolid, moxifloxacin) AND indicates susceptibility to </w:t>
      </w:r>
      <w:proofErr w:type="spellStart"/>
      <w:r w:rsidRPr="009B609B">
        <w:rPr>
          <w:color w:val="000000"/>
        </w:rPr>
        <w:t>Xenleta</w:t>
      </w:r>
      <w:proofErr w:type="spellEnd"/>
      <w:r w:rsidRPr="009B609B">
        <w:rPr>
          <w:color w:val="000000"/>
        </w:rPr>
        <w:t xml:space="preserve"> </w:t>
      </w:r>
    </w:p>
    <w:p w14:paraId="607235FD" w14:textId="123B1906" w:rsidR="0023422D" w:rsidRDefault="009B609B">
      <w:pPr>
        <w:pStyle w:val="ListParagraph"/>
        <w:numPr>
          <w:ilvl w:val="1"/>
          <w:numId w:val="30"/>
        </w:numPr>
        <w:rPr>
          <w:color w:val="000000"/>
        </w:rPr>
      </w:pPr>
      <w:proofErr w:type="gramStart"/>
      <w:r w:rsidRPr="00CD4735">
        <w:rPr>
          <w:color w:val="000000"/>
        </w:rPr>
        <w:t>Member has</w:t>
      </w:r>
      <w:proofErr w:type="gramEnd"/>
      <w:r w:rsidRPr="00CD4735">
        <w:rPr>
          <w:color w:val="000000"/>
        </w:rPr>
        <w:t xml:space="preserve"> tried and failed at least TWO standard</w:t>
      </w:r>
      <w:r w:rsidR="00D12A7B">
        <w:rPr>
          <w:color w:val="000000"/>
        </w:rPr>
        <w:t>-</w:t>
      </w:r>
      <w:r w:rsidRPr="00CD4735">
        <w:rPr>
          <w:color w:val="000000"/>
        </w:rPr>
        <w:t>of</w:t>
      </w:r>
      <w:r w:rsidR="00D12A7B">
        <w:rPr>
          <w:color w:val="000000"/>
        </w:rPr>
        <w:t>-</w:t>
      </w:r>
      <w:r w:rsidRPr="00CD4735">
        <w:rPr>
          <w:color w:val="000000"/>
        </w:rPr>
        <w:t xml:space="preserve">care medications for CABP or </w:t>
      </w:r>
      <w:proofErr w:type="gramStart"/>
      <w:r w:rsidRPr="00CD4735">
        <w:rPr>
          <w:color w:val="000000"/>
        </w:rPr>
        <w:t>has</w:t>
      </w:r>
      <w:proofErr w:type="gramEnd"/>
      <w:r w:rsidRPr="00CD4735">
        <w:rPr>
          <w:color w:val="000000"/>
        </w:rPr>
        <w:t xml:space="preserve"> a contraindication to all medications </w:t>
      </w:r>
    </w:p>
    <w:p w14:paraId="50F6E848" w14:textId="47AA7767" w:rsidR="00E768E6" w:rsidRPr="00121D1A" w:rsidRDefault="002B581F" w:rsidP="00A03DEC">
      <w:pPr>
        <w:pStyle w:val="Heading1"/>
      </w:pPr>
      <w:bookmarkStart w:id="12" w:name="_Toc231249179"/>
      <w:bookmarkEnd w:id="11"/>
      <w:r>
        <w:t>R</w:t>
      </w:r>
      <w:r w:rsidR="00903D20">
        <w:t>e</w:t>
      </w:r>
      <w:r>
        <w:t>authorization Criteria</w:t>
      </w:r>
      <w:bookmarkEnd w:id="12"/>
    </w:p>
    <w:p w14:paraId="04880BF9" w14:textId="28743111" w:rsidR="0088160A" w:rsidRPr="00B04EC0" w:rsidRDefault="0088160A" w:rsidP="00CD4735">
      <w:bookmarkStart w:id="13" w:name="bf411eb6-39fd-4766-b04d-3f0de901e5e4"/>
      <w:r w:rsidRPr="009C317B">
        <w:rPr>
          <w:color w:val="000000"/>
        </w:rPr>
        <w:t>All prior authorization renewals are reviewed</w:t>
      </w:r>
      <w:r w:rsidR="009B609B">
        <w:rPr>
          <w:color w:val="000000"/>
        </w:rPr>
        <w:t>, and initial criteria must be met again for approval.</w:t>
      </w:r>
      <w:r w:rsidRPr="009C317B">
        <w:rPr>
          <w:color w:val="000000"/>
        </w:rPr>
        <w:t xml:space="preserve"> </w:t>
      </w:r>
    </w:p>
    <w:p w14:paraId="27CDA761" w14:textId="77777777" w:rsidR="00B04EC0" w:rsidRPr="00121D1A" w:rsidRDefault="00B04EC0" w:rsidP="00B04EC0">
      <w:pPr>
        <w:pStyle w:val="Heading1"/>
      </w:pPr>
      <w:bookmarkStart w:id="14" w:name="_Toc189906977"/>
      <w:bookmarkStart w:id="15" w:name="_Toc231249180"/>
      <w:r>
        <w:t>Approval Durations</w:t>
      </w:r>
      <w:bookmarkEnd w:id="14"/>
      <w:bookmarkEnd w:id="15"/>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3B4231DB" w:rsidR="00886909" w:rsidRPr="00962841" w:rsidRDefault="009B609B" w:rsidP="009B609B">
            <w:pPr>
              <w:pStyle w:val="In-TextTable"/>
            </w:pPr>
            <w:r>
              <w:t xml:space="preserve">Up to </w:t>
            </w:r>
            <w:r w:rsidR="00D27CC4">
              <w:t>six</w:t>
            </w:r>
            <w:r w:rsidR="00DF73FF">
              <w:t xml:space="preserve"> months</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3D9E0688" w:rsidR="00B04EC0" w:rsidRPr="00962841" w:rsidRDefault="009B609B" w:rsidP="009A1E03">
            <w:pPr>
              <w:pStyle w:val="In-TextTable"/>
            </w:pPr>
            <w:r>
              <w:t xml:space="preserve">Same as initial </w:t>
            </w:r>
          </w:p>
        </w:tc>
      </w:tr>
    </w:tbl>
    <w:p w14:paraId="50F6E878" w14:textId="2A55145C" w:rsidR="00E768E6" w:rsidRDefault="00B21AF9" w:rsidP="00A03DEC">
      <w:pPr>
        <w:pStyle w:val="Heading1"/>
      </w:pPr>
      <w:bookmarkStart w:id="16" w:name="da639a29-a55e-49c4-8655-0f6eeb953c05"/>
      <w:bookmarkStart w:id="17" w:name="_Toc231249181"/>
      <w:bookmarkEnd w:id="13"/>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31249182"/>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6B77C196" w:rsidR="005D7959" w:rsidRPr="00CD4735" w:rsidRDefault="009B609B" w:rsidP="005D7959">
            <w:pPr>
              <w:pStyle w:val="In-TextTable"/>
              <w:rPr>
                <w:caps/>
              </w:rPr>
            </w:pPr>
            <w:r w:rsidRPr="00CD4735">
              <w:rPr>
                <w:caps/>
              </w:rPr>
              <w:t>J0691</w:t>
            </w:r>
          </w:p>
        </w:tc>
        <w:tc>
          <w:tcPr>
            <w:tcW w:w="1773" w:type="dxa"/>
            <w:tcBorders>
              <w:top w:val="single" w:sz="6" w:space="0" w:color="auto"/>
              <w:left w:val="single" w:sz="6" w:space="0" w:color="auto"/>
              <w:bottom w:val="single" w:sz="6" w:space="0" w:color="auto"/>
              <w:right w:val="single" w:sz="6" w:space="0" w:color="auto"/>
            </w:tcBorders>
          </w:tcPr>
          <w:p w14:paraId="0FED3A80" w14:textId="60E2B620" w:rsidR="005D7959" w:rsidRPr="00CD4735" w:rsidRDefault="009B609B" w:rsidP="005D7959">
            <w:pPr>
              <w:pStyle w:val="In-TextTable"/>
              <w:rPr>
                <w:caps/>
              </w:rPr>
            </w:pPr>
            <w:r w:rsidRPr="00CD4735">
              <w:rPr>
                <w:caps/>
              </w:rPr>
              <w:t>Xenleta</w:t>
            </w:r>
          </w:p>
        </w:tc>
        <w:tc>
          <w:tcPr>
            <w:tcW w:w="6394" w:type="dxa"/>
            <w:tcBorders>
              <w:top w:val="single" w:sz="6" w:space="0" w:color="auto"/>
              <w:left w:val="single" w:sz="6" w:space="0" w:color="auto"/>
              <w:bottom w:val="single" w:sz="6" w:space="0" w:color="auto"/>
              <w:right w:val="single" w:sz="6" w:space="0" w:color="auto"/>
            </w:tcBorders>
          </w:tcPr>
          <w:p w14:paraId="1AE9F9D3" w14:textId="483FB825" w:rsidR="005D7959" w:rsidRPr="00CD4735" w:rsidRDefault="009B609B" w:rsidP="005D7959">
            <w:pPr>
              <w:pStyle w:val="In-TextTable"/>
              <w:rPr>
                <w:caps/>
              </w:rPr>
            </w:pPr>
            <w:r w:rsidRPr="00CD4735">
              <w:rPr>
                <w:caps/>
              </w:rPr>
              <w:t>Injection, Lefamulin, 1mg</w:t>
            </w:r>
          </w:p>
        </w:tc>
      </w:tr>
    </w:tbl>
    <w:p w14:paraId="50F6E886" w14:textId="360D6987" w:rsidR="00E768E6" w:rsidRDefault="00B21AF9">
      <w:pPr>
        <w:pStyle w:val="Heading2"/>
      </w:pPr>
      <w:bookmarkStart w:id="22" w:name="_Toc231249183"/>
      <w:r>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CE234E">
      <w:pPr>
        <w:pStyle w:val="Heading1"/>
        <w:keepNext/>
      </w:pPr>
      <w:bookmarkStart w:id="23" w:name="bbdd6af5-83c0-477d-9a0b-290b2e0bb618"/>
      <w:bookmarkStart w:id="24" w:name="_Toc231249184"/>
      <w:r>
        <w:lastRenderedPageBreak/>
        <w:t>Background</w:t>
      </w:r>
      <w:bookmarkEnd w:id="23"/>
      <w:bookmarkEnd w:id="24"/>
    </w:p>
    <w:p w14:paraId="783A5D4A" w14:textId="3009D19A" w:rsidR="00121D1A" w:rsidRDefault="009B609B" w:rsidP="00121D1A">
      <w:pPr>
        <w:rPr>
          <w:color w:val="000000"/>
        </w:rPr>
      </w:pPr>
      <w:bookmarkStart w:id="25" w:name="c8f46071-6a85-41b8-910e-ee88343077c4"/>
      <w:r>
        <w:rPr>
          <w:color w:val="000000"/>
        </w:rPr>
        <w:t>T</w:t>
      </w:r>
      <w:r w:rsidRPr="009B609B">
        <w:rPr>
          <w:color w:val="000000"/>
        </w:rPr>
        <w:t>he purpose of this policy is to define the prior authorization process</w:t>
      </w:r>
      <w:r w:rsidR="009E25A1">
        <w:rPr>
          <w:color w:val="000000"/>
        </w:rPr>
        <w:t xml:space="preserve"> f</w:t>
      </w:r>
      <w:r w:rsidRPr="009B609B">
        <w:rPr>
          <w:color w:val="000000"/>
        </w:rPr>
        <w:t>or </w:t>
      </w:r>
      <w:proofErr w:type="spellStart"/>
      <w:r w:rsidRPr="009B609B">
        <w:rPr>
          <w:color w:val="000000"/>
        </w:rPr>
        <w:t>Xenleta</w:t>
      </w:r>
      <w:proofErr w:type="spellEnd"/>
      <w:r w:rsidRPr="009B609B">
        <w:rPr>
          <w:color w:val="000000"/>
        </w:rPr>
        <w:t> (Lefamulin) for the treatment of adults with community-acquired bacterial pneumonia (CABP) caused by the following susceptible microorganisms: </w:t>
      </w:r>
      <w:r w:rsidRPr="009B609B">
        <w:rPr>
          <w:i/>
          <w:iCs/>
          <w:color w:val="000000"/>
        </w:rPr>
        <w:t>Streptococcus pneumoniae, Staphylococcus aureus (methicillin-susceptible isolates), </w:t>
      </w:r>
      <w:proofErr w:type="spellStart"/>
      <w:r w:rsidRPr="009B609B">
        <w:rPr>
          <w:i/>
          <w:iCs/>
          <w:color w:val="000000"/>
        </w:rPr>
        <w:t>Haemophilus</w:t>
      </w:r>
      <w:proofErr w:type="spellEnd"/>
      <w:r w:rsidRPr="009B609B">
        <w:rPr>
          <w:i/>
          <w:iCs/>
          <w:color w:val="000000"/>
        </w:rPr>
        <w:t> influenzae, Legionella pneumophila, Mycoplasma pneumoniae, and Chlamydophila pneumoniae</w:t>
      </w:r>
      <w:r>
        <w:rPr>
          <w:i/>
          <w:iCs/>
          <w:color w:val="000000"/>
        </w:rPr>
        <w:t>.</w:t>
      </w:r>
    </w:p>
    <w:p w14:paraId="653DF4E8" w14:textId="2C24D9A1" w:rsidR="004C3BCE" w:rsidRPr="00121D1A" w:rsidRDefault="004C3BCE" w:rsidP="00CE234E">
      <w:pPr>
        <w:pStyle w:val="Heading2"/>
      </w:pPr>
      <w:bookmarkStart w:id="26" w:name="_Toc189738351"/>
      <w:bookmarkStart w:id="27" w:name="_Toc231249185"/>
      <w:r>
        <w:t>Definitions</w:t>
      </w:r>
      <w:bookmarkEnd w:id="26"/>
      <w:bookmarkEnd w:id="27"/>
    </w:p>
    <w:p w14:paraId="3EF616D9" w14:textId="2C89FEEB" w:rsidR="6DC6CA1A" w:rsidRDefault="009B609B" w:rsidP="1242AA3C">
      <w:r w:rsidRPr="009B609B">
        <w:rPr>
          <w:b/>
          <w:bCs/>
        </w:rPr>
        <w:t>CABP</w:t>
      </w:r>
      <w:r w:rsidRPr="009B609B">
        <w:t> = Community-</w:t>
      </w:r>
      <w:r w:rsidR="00D27CC4">
        <w:t>a</w:t>
      </w:r>
      <w:r w:rsidRPr="009B609B">
        <w:t xml:space="preserve">cquired </w:t>
      </w:r>
      <w:r w:rsidR="00D27CC4">
        <w:t>b</w:t>
      </w:r>
      <w:r w:rsidRPr="009B609B">
        <w:t xml:space="preserve">acterial </w:t>
      </w:r>
      <w:r w:rsidR="00D27CC4">
        <w:t>p</w:t>
      </w:r>
      <w:r w:rsidRPr="009B609B">
        <w:t>neumonia</w:t>
      </w:r>
    </w:p>
    <w:p w14:paraId="50F6E8A9" w14:textId="365336F4" w:rsidR="00E768E6" w:rsidRDefault="00B21AF9" w:rsidP="00E35E4A">
      <w:pPr>
        <w:pStyle w:val="Heading1"/>
      </w:pPr>
      <w:bookmarkStart w:id="28" w:name="_Toc231249186"/>
      <w:r>
        <w:t>Policy History</w:t>
      </w:r>
      <w:bookmarkEnd w:id="25"/>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5EB5C186" w:rsidR="00E768E6" w:rsidRDefault="00121D1A" w:rsidP="00E35E4A">
            <w:pPr>
              <w:pStyle w:val="In-TextTable"/>
            </w:pPr>
            <w:r>
              <w:t>M</w:t>
            </w:r>
            <w:r w:rsidR="00B92D6F">
              <w:t>arch 2026</w:t>
            </w:r>
          </w:p>
        </w:tc>
        <w:tc>
          <w:tcPr>
            <w:tcW w:w="3755" w:type="pct"/>
          </w:tcPr>
          <w:p w14:paraId="50F6E8AF" w14:textId="6733C1E7" w:rsidR="00E35E4A" w:rsidRDefault="00566B90" w:rsidP="00E177C5">
            <w:pPr>
              <w:pStyle w:val="ListParagraph"/>
              <w:numPr>
                <w:ilvl w:val="0"/>
                <w:numId w:val="28"/>
              </w:numPr>
            </w:pPr>
            <w:r>
              <w:t xml:space="preserve">Updated approval </w:t>
            </w:r>
            <w:r w:rsidR="00B51E9C">
              <w:t xml:space="preserve">duration to </w:t>
            </w:r>
            <w:r w:rsidR="00D27CC4">
              <w:t>six</w:t>
            </w:r>
            <w:r w:rsidR="00B51E9C">
              <w:t xml:space="preserve"> months</w:t>
            </w:r>
          </w:p>
        </w:tc>
      </w:tr>
      <w:tr w:rsidR="00E768E6" w14:paraId="50F6E8B4" w14:textId="77777777" w:rsidTr="00E35E4A">
        <w:tc>
          <w:tcPr>
            <w:tcW w:w="1245" w:type="pct"/>
          </w:tcPr>
          <w:p w14:paraId="50F6E8B1" w14:textId="1A28DBB5" w:rsidR="00E768E6" w:rsidRDefault="003C259C" w:rsidP="00E35E4A">
            <w:pPr>
              <w:pStyle w:val="In-TextTable"/>
            </w:pPr>
            <w:r>
              <w:t>September 2023</w:t>
            </w:r>
          </w:p>
        </w:tc>
        <w:tc>
          <w:tcPr>
            <w:tcW w:w="3755" w:type="pct"/>
          </w:tcPr>
          <w:p w14:paraId="50F6E8B3" w14:textId="08E27C6C" w:rsidR="00E768E6" w:rsidRDefault="003C259C" w:rsidP="00E177C5">
            <w:pPr>
              <w:pStyle w:val="ListParagraph"/>
              <w:numPr>
                <w:ilvl w:val="0"/>
                <w:numId w:val="28"/>
              </w:numPr>
            </w:pPr>
            <w:r>
              <w:rPr>
                <w:color w:val="000000"/>
              </w:rPr>
              <w:t xml:space="preserve">New </w:t>
            </w:r>
            <w:r w:rsidR="00D27CC4">
              <w:rPr>
                <w:color w:val="000000"/>
              </w:rPr>
              <w:t>g</w:t>
            </w:r>
            <w:r>
              <w:rPr>
                <w:color w:val="000000"/>
              </w:rPr>
              <w:t>uideline</w:t>
            </w:r>
          </w:p>
        </w:tc>
      </w:tr>
    </w:tbl>
    <w:p w14:paraId="50F6E8BE" w14:textId="77777777" w:rsidR="00E768E6" w:rsidRDefault="00B21AF9" w:rsidP="00A03DEC">
      <w:pPr>
        <w:pStyle w:val="Heading1"/>
      </w:pPr>
      <w:bookmarkStart w:id="29" w:name="4b512564-b43b-4807-b45a-5748be5b1408"/>
      <w:bookmarkStart w:id="30" w:name="_Toc231249187"/>
      <w:r>
        <w:t>Legal and Compliance</w:t>
      </w:r>
      <w:bookmarkEnd w:id="29"/>
      <w:bookmarkEnd w:id="30"/>
    </w:p>
    <w:p w14:paraId="50F6E8BF" w14:textId="77777777" w:rsidR="00E768E6" w:rsidRDefault="00B21AF9" w:rsidP="00A03DEC">
      <w:pPr>
        <w:pStyle w:val="Heading2"/>
        <w:spacing w:before="120"/>
      </w:pPr>
      <w:bookmarkStart w:id="31" w:name="04291978-1a0a-4575-ba22-05363952021b"/>
      <w:bookmarkStart w:id="32" w:name="_Toc231249188"/>
      <w:r>
        <w:t>Guideline Approval</w:t>
      </w:r>
      <w:bookmarkEnd w:id="31"/>
      <w:bookmarkEnd w:id="32"/>
    </w:p>
    <w:p w14:paraId="50F6E8C0" w14:textId="77777777" w:rsidR="00E768E6" w:rsidRDefault="00B21AF9" w:rsidP="00A03DEC">
      <w:pPr>
        <w:pStyle w:val="Heading3"/>
        <w:spacing w:before="120"/>
      </w:pPr>
      <w:bookmarkStart w:id="33" w:name="b97fcac7-a717-42a2-b4fe-62c00859e1e4"/>
      <w:bookmarkStart w:id="34" w:name="_Toc231249189"/>
      <w:r>
        <w:t>Committee</w:t>
      </w:r>
      <w:bookmarkEnd w:id="33"/>
      <w:bookmarkEnd w:id="34"/>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5" w:name="2aca8366-a793-4f5d-9375-d9ccb446b05d"/>
      <w:bookmarkStart w:id="36" w:name="_Toc231249190"/>
      <w:r>
        <w:t>Disclaimer</w:t>
      </w:r>
      <w:bookmarkEnd w:id="35"/>
      <w:bookmarkEnd w:id="36"/>
    </w:p>
    <w:p w14:paraId="3E30637D" w14:textId="77777777" w:rsidR="009F0B0E" w:rsidRPr="009F0B0E" w:rsidRDefault="009F0B0E" w:rsidP="009F0B0E">
      <w:pPr>
        <w:spacing w:before="0" w:after="0"/>
        <w:rPr>
          <w:i/>
          <w:iCs/>
          <w:color w:val="000000"/>
        </w:rPr>
      </w:pPr>
      <w:r w:rsidRPr="009F0B0E">
        <w:rPr>
          <w:i/>
          <w:iCs/>
          <w:color w:val="000000"/>
        </w:rPr>
        <w:t>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61657A44" w14:textId="77777777" w:rsidR="009F0B0E" w:rsidRPr="009F0B0E" w:rsidRDefault="009F0B0E" w:rsidP="009F0B0E">
      <w:pPr>
        <w:spacing w:before="0" w:after="0"/>
        <w:rPr>
          <w:i/>
          <w:iCs/>
          <w:color w:val="000000"/>
        </w:rPr>
      </w:pPr>
      <w:r w:rsidRPr="009F0B0E">
        <w:rPr>
          <w:i/>
          <w:iCs/>
          <w:color w:val="000000"/>
        </w:rPr>
        <w:t> </w:t>
      </w:r>
    </w:p>
    <w:p w14:paraId="0D1063F7" w14:textId="77777777" w:rsidR="009F0B0E" w:rsidRPr="009F0B0E" w:rsidRDefault="009F0B0E" w:rsidP="009F0B0E">
      <w:pPr>
        <w:spacing w:before="0" w:after="0"/>
        <w:rPr>
          <w:i/>
          <w:iCs/>
          <w:color w:val="000000"/>
        </w:rPr>
      </w:pPr>
      <w:r w:rsidRPr="009F0B0E">
        <w:rPr>
          <w:i/>
          <w:iCs/>
          <w:color w:val="000000"/>
        </w:rPr>
        <w:t xml:space="preserve">Evolent Clinical Guidelines are comprehensive and inclusive of various procedural applications for each service type. Our guidelines may be used to supplement Medicare criteria when such </w:t>
      </w:r>
      <w:r w:rsidRPr="009F0B0E">
        <w:rPr>
          <w:i/>
          <w:iCs/>
          <w:color w:val="000000"/>
        </w:rPr>
        <w:lastRenderedPageBreak/>
        <w:t>criteria </w:t>
      </w:r>
      <w:proofErr w:type="gramStart"/>
      <w:r w:rsidRPr="009F0B0E">
        <w:rPr>
          <w:i/>
          <w:iCs/>
          <w:color w:val="000000"/>
        </w:rPr>
        <w:t>is</w:t>
      </w:r>
      <w:proofErr w:type="gramEnd"/>
      <w:r w:rsidRPr="009F0B0E">
        <w:rPr>
          <w:i/>
          <w:iCs/>
          <w:color w:val="000000"/>
        </w:rPr>
        <w:t> not fully established. When Medicare criteria </w:t>
      </w:r>
      <w:proofErr w:type="gramStart"/>
      <w:r w:rsidRPr="009F0B0E">
        <w:rPr>
          <w:i/>
          <w:iCs/>
          <w:color w:val="000000"/>
        </w:rPr>
        <w:t>is</w:t>
      </w:r>
      <w:proofErr w:type="gramEnd"/>
      <w:r w:rsidRPr="009F0B0E">
        <w:rPr>
          <w:i/>
          <w:iCs/>
          <w:color w:val="000000"/>
        </w:rPr>
        <w:t> determined to not be fully established, we only reference the relevant portion of the corresponding Evolent Clinical Guideline that is applicable to the specific service or item requested </w:t>
      </w:r>
      <w:proofErr w:type="gramStart"/>
      <w:r w:rsidRPr="009F0B0E">
        <w:rPr>
          <w:i/>
          <w:iCs/>
          <w:color w:val="000000"/>
        </w:rPr>
        <w:t>in order to</w:t>
      </w:r>
      <w:proofErr w:type="gramEnd"/>
      <w:r w:rsidRPr="009F0B0E">
        <w:rPr>
          <w:i/>
          <w:iCs/>
          <w:color w:val="000000"/>
        </w:rPr>
        <w:t> determine medical necessity.</w:t>
      </w:r>
    </w:p>
    <w:p w14:paraId="3DD7D67B" w14:textId="77777777" w:rsidR="00EC7EE7" w:rsidRDefault="00EC7EE7">
      <w:pPr>
        <w:spacing w:before="0" w:after="0"/>
        <w:rPr>
          <w:rFonts w:eastAsia="Calibri" w:cs="Calibri"/>
          <w:b/>
          <w:bCs/>
          <w:caps/>
          <w:sz w:val="36"/>
          <w:szCs w:val="28"/>
        </w:rPr>
      </w:pPr>
      <w:r>
        <w:br w:type="page"/>
      </w:r>
    </w:p>
    <w:p w14:paraId="50F6E8C6" w14:textId="04369AA8" w:rsidR="00E768E6" w:rsidRDefault="00B21AF9" w:rsidP="00A03DEC">
      <w:pPr>
        <w:pStyle w:val="Heading1"/>
      </w:pPr>
      <w:bookmarkStart w:id="37" w:name="_Toc231249191"/>
      <w:r>
        <w:lastRenderedPageBreak/>
        <w:t>References</w:t>
      </w:r>
      <w:bookmarkEnd w:id="37"/>
    </w:p>
    <w:p w14:paraId="1D71CE38" w14:textId="3D9549A0" w:rsidR="0023422D" w:rsidRPr="009E2A62" w:rsidRDefault="0023422D" w:rsidP="00B92D6F">
      <w:pPr>
        <w:numPr>
          <w:ilvl w:val="0"/>
          <w:numId w:val="35"/>
        </w:numPr>
        <w:spacing w:after="0" w:line="278" w:lineRule="auto"/>
        <w:contextualSpacing/>
        <w:rPr>
          <w:rFonts w:cs="Arial"/>
        </w:rPr>
      </w:pPr>
      <w:proofErr w:type="spellStart"/>
      <w:r>
        <w:rPr>
          <w:rFonts w:cs="Arial"/>
        </w:rPr>
        <w:t>Xenleta</w:t>
      </w:r>
      <w:proofErr w:type="spellEnd"/>
      <w:r w:rsidRPr="009E2A62">
        <w:rPr>
          <w:rFonts w:cs="Arial"/>
        </w:rPr>
        <w:t xml:space="preserve"> [Prescribing Information]. </w:t>
      </w:r>
      <w:r>
        <w:rPr>
          <w:rFonts w:cs="Arial"/>
        </w:rPr>
        <w:t>Ireland DAC</w:t>
      </w:r>
      <w:r w:rsidRPr="009E2A62">
        <w:rPr>
          <w:rFonts w:cs="Arial"/>
        </w:rPr>
        <w:t xml:space="preserve">: </w:t>
      </w:r>
      <w:proofErr w:type="spellStart"/>
      <w:r>
        <w:rPr>
          <w:rFonts w:cs="Arial"/>
        </w:rPr>
        <w:t>Nabriva</w:t>
      </w:r>
      <w:proofErr w:type="spellEnd"/>
      <w:r>
        <w:rPr>
          <w:rFonts w:cs="Arial"/>
        </w:rPr>
        <w:t xml:space="preserve"> Therapeutics US, Inc</w:t>
      </w:r>
      <w:r w:rsidRPr="009E2A62">
        <w:rPr>
          <w:rFonts w:cs="Arial"/>
        </w:rPr>
        <w:t xml:space="preserve">; </w:t>
      </w:r>
      <w:r>
        <w:rPr>
          <w:rFonts w:cs="Arial"/>
        </w:rPr>
        <w:t>August 2019.</w:t>
      </w:r>
      <w:r w:rsidRPr="009E2A62">
        <w:rPr>
          <w:rFonts w:cs="Arial"/>
        </w:rPr>
        <w:t> </w:t>
      </w:r>
    </w:p>
    <w:p w14:paraId="78D75F6F" w14:textId="1AC9319B" w:rsidR="0023422D" w:rsidRDefault="009B609B" w:rsidP="00B92D6F">
      <w:pPr>
        <w:numPr>
          <w:ilvl w:val="0"/>
          <w:numId w:val="35"/>
        </w:numPr>
        <w:spacing w:after="0" w:line="278" w:lineRule="auto"/>
        <w:contextualSpacing/>
        <w:rPr>
          <w:rFonts w:cs="Arial"/>
        </w:rPr>
      </w:pPr>
      <w:r w:rsidRPr="009B609B">
        <w:rPr>
          <w:rFonts w:cs="Arial"/>
        </w:rPr>
        <w:t>FDA approves new </w:t>
      </w:r>
      <w:proofErr w:type="gramStart"/>
      <w:r w:rsidRPr="009B609B">
        <w:rPr>
          <w:rFonts w:cs="Arial"/>
        </w:rPr>
        <w:t>antibiotic</w:t>
      </w:r>
      <w:proofErr w:type="gramEnd"/>
      <w:r w:rsidRPr="009B609B">
        <w:rPr>
          <w:rFonts w:cs="Arial"/>
        </w:rPr>
        <w:t> to treat community-acquired bacterial pneumonia. (2019, August 19). Retrieved October 5, 2019, from </w:t>
      </w:r>
      <w:hyperlink r:id="rId11" w:history="1">
        <w:r w:rsidRPr="00CE6BA8">
          <w:rPr>
            <w:rStyle w:val="Hyperlink"/>
            <w:rFonts w:cs="Arial"/>
          </w:rPr>
          <w:t>https://www.fda.gov/news-events/press-announcements/fda-approves-new-antibiotic-treat-community-acquired-bacterial-pneumonia</w:t>
        </w:r>
      </w:hyperlink>
      <w:r w:rsidRPr="009B609B">
        <w:rPr>
          <w:rFonts w:cs="Arial"/>
        </w:rPr>
        <w:t>. </w:t>
      </w:r>
    </w:p>
    <w:p w14:paraId="13AC1467" w14:textId="716C077A" w:rsidR="0023422D" w:rsidRDefault="009B609B" w:rsidP="00B92D6F">
      <w:pPr>
        <w:numPr>
          <w:ilvl w:val="0"/>
          <w:numId w:val="35"/>
        </w:numPr>
        <w:spacing w:after="0" w:line="278" w:lineRule="auto"/>
        <w:contextualSpacing/>
        <w:rPr>
          <w:rFonts w:cs="Arial"/>
        </w:rPr>
      </w:pPr>
      <w:r w:rsidRPr="0023422D">
        <w:rPr>
          <w:rFonts w:cs="Arial"/>
        </w:rPr>
        <w:t xml:space="preserve">File, T. M. (2019, May 2). Treatment of community-acquired pneumonia in adults in the outpatient setting. Retrieved October 5, 2019, from </w:t>
      </w:r>
      <w:hyperlink r:id="rId12" w:history="1">
        <w:r w:rsidRPr="00CE6BA8">
          <w:rPr>
            <w:rStyle w:val="Hyperlink"/>
            <w:rFonts w:cs="Arial"/>
          </w:rPr>
          <w:t>https://www-uptodate-com.suproxy.su.edu/contents/treatment-of-community-acquired-pneumonia-in-adults-in-the-outpatient-setting?search=community acquired pneumonia treatment&amp;source=search_result&amp;selectedTitle=3~150&amp;usage_type=default&amp;display_rank=3</w:t>
        </w:r>
      </w:hyperlink>
      <w:r w:rsidRPr="0023422D">
        <w:rPr>
          <w:rFonts w:cs="Arial"/>
        </w:rPr>
        <w:t>. </w:t>
      </w:r>
    </w:p>
    <w:p w14:paraId="757883AF" w14:textId="5C88A81D" w:rsidR="0023422D" w:rsidRDefault="009B609B" w:rsidP="00B92D6F">
      <w:pPr>
        <w:numPr>
          <w:ilvl w:val="0"/>
          <w:numId w:val="35"/>
        </w:numPr>
        <w:spacing w:after="0" w:line="278" w:lineRule="auto"/>
        <w:contextualSpacing/>
        <w:rPr>
          <w:rFonts w:cs="Arial"/>
        </w:rPr>
      </w:pPr>
      <w:proofErr w:type="spellStart"/>
      <w:r w:rsidRPr="0023422D">
        <w:rPr>
          <w:rFonts w:cs="Arial"/>
        </w:rPr>
        <w:t>Nabriva</w:t>
      </w:r>
      <w:proofErr w:type="spellEnd"/>
      <w:r w:rsidRPr="0023422D">
        <w:rPr>
          <w:rFonts w:cs="Arial"/>
        </w:rPr>
        <w:t> Therapeutics Receives U.S. FDA Approval of </w:t>
      </w:r>
      <w:proofErr w:type="spellStart"/>
      <w:r w:rsidRPr="0023422D">
        <w:rPr>
          <w:rFonts w:cs="Arial"/>
        </w:rPr>
        <w:t>Xenleta</w:t>
      </w:r>
      <w:proofErr w:type="spellEnd"/>
      <w:r w:rsidRPr="0023422D">
        <w:rPr>
          <w:rFonts w:cs="Arial"/>
        </w:rPr>
        <w:t>™ (</w:t>
      </w:r>
      <w:proofErr w:type="spellStart"/>
      <w:r w:rsidRPr="0023422D">
        <w:rPr>
          <w:rFonts w:cs="Arial"/>
        </w:rPr>
        <w:t>lefamulin</w:t>
      </w:r>
      <w:proofErr w:type="spellEnd"/>
      <w:r w:rsidRPr="0023422D">
        <w:rPr>
          <w:rFonts w:cs="Arial"/>
        </w:rPr>
        <w:t>) to Treat Community-Acquired Bacterial Pneumonia (CABP). (2019, August 19). Retrieved October 5, 2019, from </w:t>
      </w:r>
      <w:hyperlink r:id="rId13" w:history="1">
        <w:r w:rsidRPr="00CE6BA8">
          <w:rPr>
            <w:rStyle w:val="Hyperlink"/>
            <w:rFonts w:cs="Arial"/>
          </w:rPr>
          <w:t>https://investors.nabriva.com/news-releases/news-release-details/nabriva-therapeutics-receives-us-fda-approval-xenleta</w:t>
        </w:r>
      </w:hyperlink>
      <w:r w:rsidRPr="0023422D">
        <w:rPr>
          <w:rFonts w:cs="Arial"/>
        </w:rPr>
        <w:t>. </w:t>
      </w:r>
    </w:p>
    <w:p w14:paraId="5EE9686A" w14:textId="412EFB61" w:rsidR="009B609B" w:rsidRPr="0023422D" w:rsidRDefault="009B609B" w:rsidP="00B92D6F">
      <w:pPr>
        <w:numPr>
          <w:ilvl w:val="0"/>
          <w:numId w:val="35"/>
        </w:numPr>
        <w:spacing w:after="0" w:line="278" w:lineRule="auto"/>
        <w:contextualSpacing/>
        <w:rPr>
          <w:rFonts w:cs="Arial"/>
        </w:rPr>
      </w:pPr>
      <w:r w:rsidRPr="0023422D">
        <w:rPr>
          <w:rFonts w:cs="Arial"/>
        </w:rPr>
        <w:t>Study to Compare Lefamulin to Moxifloxacin (With or Without Linezolid) for the Treatment of Adults </w:t>
      </w:r>
      <w:proofErr w:type="gramStart"/>
      <w:r w:rsidRPr="0023422D">
        <w:rPr>
          <w:rFonts w:cs="Arial"/>
        </w:rPr>
        <w:t>With</w:t>
      </w:r>
      <w:proofErr w:type="gramEnd"/>
      <w:r w:rsidRPr="0023422D">
        <w:rPr>
          <w:rFonts w:cs="Arial"/>
        </w:rPr>
        <w:t xml:space="preserve"> Pneumonia (LEAP). (2015, September 24). Retrieved October 5, 2019, from </w:t>
      </w:r>
      <w:hyperlink r:id="rId14" w:history="1">
        <w:r w:rsidRPr="00CE6BA8">
          <w:rPr>
            <w:rStyle w:val="Hyperlink"/>
            <w:rFonts w:cs="Arial"/>
          </w:rPr>
          <w:t>https://clinicaltrials.gov/ct2/show/NCT02559310</w:t>
        </w:r>
      </w:hyperlink>
      <w:r w:rsidRPr="0023422D">
        <w:rPr>
          <w:rFonts w:cs="Arial"/>
        </w:rPr>
        <w:t>. </w:t>
      </w:r>
    </w:p>
    <w:p w14:paraId="50F6E8E0" w14:textId="51678867" w:rsidR="00E768E6" w:rsidRPr="00C764C3" w:rsidRDefault="00E768E6" w:rsidP="009B609B">
      <w:pPr>
        <w:spacing w:before="0" w:line="278" w:lineRule="auto"/>
        <w:contextualSpacing/>
      </w:pPr>
    </w:p>
    <w:sectPr w:rsidR="00E768E6" w:rsidRPr="00C764C3" w:rsidSect="00B453FA">
      <w:headerReference w:type="default" r:id="rId15"/>
      <w:footerReference w:type="default" r:id="rId16"/>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7192" w14:textId="77777777" w:rsidR="00063747" w:rsidRDefault="00063747">
      <w:pPr>
        <w:spacing w:before="0" w:after="0"/>
      </w:pPr>
      <w:r>
        <w:separator/>
      </w:r>
    </w:p>
  </w:endnote>
  <w:endnote w:type="continuationSeparator" w:id="0">
    <w:p w14:paraId="40E86990" w14:textId="77777777" w:rsidR="00063747" w:rsidRDefault="00063747">
      <w:pPr>
        <w:spacing w:before="0" w:after="0"/>
      </w:pPr>
      <w:r>
        <w:continuationSeparator/>
      </w:r>
    </w:p>
  </w:endnote>
  <w:endnote w:type="continuationNotice" w:id="1">
    <w:p w14:paraId="76B427A8" w14:textId="77777777" w:rsidR="00063747" w:rsidRDefault="000637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612CDD36" w:rsidR="00E768E6" w:rsidRDefault="5D66B660">
    <w:pPr>
      <w:pStyle w:val="Footer"/>
    </w:pPr>
    <w:r>
      <w:t xml:space="preserve">EVH Clinical Guideline </w:t>
    </w:r>
    <w:r w:rsidR="005D16B1">
      <w:t>5078</w:t>
    </w:r>
    <w:r>
      <w:t xml:space="preserve">.CC for </w:t>
    </w:r>
    <w:proofErr w:type="spellStart"/>
    <w:r w:rsidR="009B609B">
      <w:t>Xenleta</w:t>
    </w:r>
    <w:proofErr w:type="spellEnd"/>
    <w:r w:rsidR="009B609B">
      <w:t xml:space="preserve"> (Lefamulin)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7D37" w14:textId="77777777" w:rsidR="00063747" w:rsidRDefault="00063747">
      <w:pPr>
        <w:spacing w:before="0" w:after="0"/>
      </w:pPr>
      <w:r>
        <w:separator/>
      </w:r>
    </w:p>
  </w:footnote>
  <w:footnote w:type="continuationSeparator" w:id="0">
    <w:p w14:paraId="173DC4D9" w14:textId="77777777" w:rsidR="00063747" w:rsidRDefault="00063747">
      <w:pPr>
        <w:spacing w:before="0" w:after="0"/>
      </w:pPr>
      <w:r>
        <w:continuationSeparator/>
      </w:r>
    </w:p>
  </w:footnote>
  <w:footnote w:type="continuationNotice" w:id="1">
    <w:p w14:paraId="46F1B9E5" w14:textId="77777777" w:rsidR="00063747" w:rsidRDefault="0006374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522177D"/>
    <w:multiLevelType w:val="multilevel"/>
    <w:tmpl w:val="78C6B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B693C"/>
    <w:multiLevelType w:val="multilevel"/>
    <w:tmpl w:val="C296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0832096"/>
    <w:multiLevelType w:val="multilevel"/>
    <w:tmpl w:val="AB6606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8"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2"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3"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4"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79A4B56"/>
    <w:multiLevelType w:val="multilevel"/>
    <w:tmpl w:val="B0505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9"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0"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1"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22"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03910A4"/>
    <w:multiLevelType w:val="multilevel"/>
    <w:tmpl w:val="1096C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5"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6"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7"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8"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3"/>
    <w:lvlOverride w:ilvl="0">
      <w:startOverride w:val="1"/>
    </w:lvlOverride>
  </w:num>
  <w:num w:numId="2" w16cid:durableId="1704356648">
    <w:abstractNumId w:val="21"/>
    <w:lvlOverride w:ilvl="0">
      <w:startOverride w:val="1"/>
    </w:lvlOverride>
  </w:num>
  <w:num w:numId="3" w16cid:durableId="1483080296">
    <w:abstractNumId w:val="6"/>
  </w:num>
  <w:num w:numId="4" w16cid:durableId="1938244795">
    <w:abstractNumId w:val="34"/>
  </w:num>
  <w:num w:numId="5" w16cid:durableId="443425685">
    <w:abstractNumId w:val="15"/>
  </w:num>
  <w:num w:numId="6" w16cid:durableId="1035155679">
    <w:abstractNumId w:val="35"/>
  </w:num>
  <w:num w:numId="7" w16cid:durableId="1644895934">
    <w:abstractNumId w:val="11"/>
  </w:num>
  <w:num w:numId="8" w16cid:durableId="108479868">
    <w:abstractNumId w:val="27"/>
  </w:num>
  <w:num w:numId="9" w16cid:durableId="1305232670">
    <w:abstractNumId w:val="25"/>
  </w:num>
  <w:num w:numId="10" w16cid:durableId="2028941698">
    <w:abstractNumId w:val="4"/>
  </w:num>
  <w:num w:numId="11" w16cid:durableId="685055951">
    <w:abstractNumId w:val="33"/>
  </w:num>
  <w:num w:numId="12" w16cid:durableId="1693796029">
    <w:abstractNumId w:val="7"/>
  </w:num>
  <w:num w:numId="13" w16cid:durableId="1488281355">
    <w:abstractNumId w:val="38"/>
  </w:num>
  <w:num w:numId="14" w16cid:durableId="1127746351">
    <w:abstractNumId w:val="1"/>
  </w:num>
  <w:num w:numId="15" w16cid:durableId="1163937515">
    <w:abstractNumId w:val="31"/>
  </w:num>
  <w:num w:numId="16" w16cid:durableId="1995992187">
    <w:abstractNumId w:val="36"/>
  </w:num>
  <w:num w:numId="17" w16cid:durableId="950631868">
    <w:abstractNumId w:val="29"/>
  </w:num>
  <w:num w:numId="18" w16cid:durableId="1517035596">
    <w:abstractNumId w:val="24"/>
  </w:num>
  <w:num w:numId="19" w16cid:durableId="1614359465">
    <w:abstractNumId w:val="18"/>
  </w:num>
  <w:num w:numId="20" w16cid:durableId="839387076">
    <w:abstractNumId w:val="8"/>
  </w:num>
  <w:num w:numId="21" w16cid:durableId="1537111969">
    <w:abstractNumId w:val="14"/>
  </w:num>
  <w:num w:numId="22" w16cid:durableId="2022773969">
    <w:abstractNumId w:val="17"/>
  </w:num>
  <w:num w:numId="23" w16cid:durableId="547644220">
    <w:abstractNumId w:val="19"/>
  </w:num>
  <w:num w:numId="24" w16cid:durableId="313678777">
    <w:abstractNumId w:val="12"/>
  </w:num>
  <w:num w:numId="25" w16cid:durableId="80952899">
    <w:abstractNumId w:val="28"/>
  </w:num>
  <w:num w:numId="26" w16cid:durableId="2072842429">
    <w:abstractNumId w:val="26"/>
  </w:num>
  <w:num w:numId="27" w16cid:durableId="2086607144">
    <w:abstractNumId w:val="23"/>
  </w:num>
  <w:num w:numId="28" w16cid:durableId="1729299406">
    <w:abstractNumId w:val="9"/>
  </w:num>
  <w:num w:numId="29" w16cid:durableId="2028435484">
    <w:abstractNumId w:val="0"/>
  </w:num>
  <w:num w:numId="30" w16cid:durableId="433867396">
    <w:abstractNumId w:val="30"/>
  </w:num>
  <w:num w:numId="31" w16cid:durableId="1470515242">
    <w:abstractNumId w:val="22"/>
  </w:num>
  <w:num w:numId="32" w16cid:durableId="1174343212">
    <w:abstractNumId w:val="10"/>
  </w:num>
  <w:num w:numId="33" w16cid:durableId="796143920">
    <w:abstractNumId w:val="20"/>
  </w:num>
  <w:num w:numId="34" w16cid:durableId="2098281171">
    <w:abstractNumId w:val="37"/>
  </w:num>
  <w:num w:numId="35" w16cid:durableId="672147991">
    <w:abstractNumId w:val="5"/>
  </w:num>
  <w:num w:numId="36" w16cid:durableId="46804952">
    <w:abstractNumId w:val="32"/>
  </w:num>
  <w:num w:numId="37" w16cid:durableId="645092884">
    <w:abstractNumId w:val="16"/>
  </w:num>
  <w:num w:numId="38" w16cid:durableId="1268538001">
    <w:abstractNumId w:val="2"/>
  </w:num>
  <w:num w:numId="39" w16cid:durableId="189249345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1683F"/>
    <w:rsid w:val="00020083"/>
    <w:rsid w:val="00020EE2"/>
    <w:rsid w:val="00033EE8"/>
    <w:rsid w:val="0003646D"/>
    <w:rsid w:val="000428D6"/>
    <w:rsid w:val="0004797B"/>
    <w:rsid w:val="00063747"/>
    <w:rsid w:val="00085B86"/>
    <w:rsid w:val="00090D5F"/>
    <w:rsid w:val="00091912"/>
    <w:rsid w:val="000B18C2"/>
    <w:rsid w:val="000B3F0C"/>
    <w:rsid w:val="000B5014"/>
    <w:rsid w:val="000D07A6"/>
    <w:rsid w:val="000D4859"/>
    <w:rsid w:val="000E54AA"/>
    <w:rsid w:val="000E56E6"/>
    <w:rsid w:val="000F26CB"/>
    <w:rsid w:val="000F4F33"/>
    <w:rsid w:val="00107484"/>
    <w:rsid w:val="00121D1A"/>
    <w:rsid w:val="00131376"/>
    <w:rsid w:val="001326E5"/>
    <w:rsid w:val="001331D9"/>
    <w:rsid w:val="00137B11"/>
    <w:rsid w:val="001542FF"/>
    <w:rsid w:val="00165017"/>
    <w:rsid w:val="00170BE8"/>
    <w:rsid w:val="00184B0B"/>
    <w:rsid w:val="001906D9"/>
    <w:rsid w:val="00191870"/>
    <w:rsid w:val="00192D85"/>
    <w:rsid w:val="001B47C5"/>
    <w:rsid w:val="001C3443"/>
    <w:rsid w:val="001C6AD6"/>
    <w:rsid w:val="001F3FBD"/>
    <w:rsid w:val="0020217A"/>
    <w:rsid w:val="00211956"/>
    <w:rsid w:val="00226856"/>
    <w:rsid w:val="0023422D"/>
    <w:rsid w:val="00254BB7"/>
    <w:rsid w:val="002561E8"/>
    <w:rsid w:val="0026198C"/>
    <w:rsid w:val="00265A17"/>
    <w:rsid w:val="00266200"/>
    <w:rsid w:val="00291702"/>
    <w:rsid w:val="002A1528"/>
    <w:rsid w:val="002A5A0A"/>
    <w:rsid w:val="002B4658"/>
    <w:rsid w:val="002B581F"/>
    <w:rsid w:val="002C685E"/>
    <w:rsid w:val="002D5BAA"/>
    <w:rsid w:val="002F2953"/>
    <w:rsid w:val="0030732A"/>
    <w:rsid w:val="003209EB"/>
    <w:rsid w:val="00324C14"/>
    <w:rsid w:val="00366A37"/>
    <w:rsid w:val="00371D5A"/>
    <w:rsid w:val="00392C61"/>
    <w:rsid w:val="003B7958"/>
    <w:rsid w:val="003C259C"/>
    <w:rsid w:val="003E4D57"/>
    <w:rsid w:val="003F1770"/>
    <w:rsid w:val="00402D8F"/>
    <w:rsid w:val="00413634"/>
    <w:rsid w:val="00426325"/>
    <w:rsid w:val="0042675D"/>
    <w:rsid w:val="0042696D"/>
    <w:rsid w:val="00462C60"/>
    <w:rsid w:val="004660C6"/>
    <w:rsid w:val="00491493"/>
    <w:rsid w:val="004A6F71"/>
    <w:rsid w:val="004B5DBF"/>
    <w:rsid w:val="004C23E3"/>
    <w:rsid w:val="004C3BCE"/>
    <w:rsid w:val="004D20A0"/>
    <w:rsid w:val="004D6BF0"/>
    <w:rsid w:val="004D6F63"/>
    <w:rsid w:val="00514C1A"/>
    <w:rsid w:val="00515EC6"/>
    <w:rsid w:val="00520329"/>
    <w:rsid w:val="00534131"/>
    <w:rsid w:val="00535D45"/>
    <w:rsid w:val="00542876"/>
    <w:rsid w:val="00544CAA"/>
    <w:rsid w:val="00566B90"/>
    <w:rsid w:val="00593230"/>
    <w:rsid w:val="005C156E"/>
    <w:rsid w:val="005D16B1"/>
    <w:rsid w:val="005D7959"/>
    <w:rsid w:val="005E1BA6"/>
    <w:rsid w:val="005F20CB"/>
    <w:rsid w:val="005F4EF2"/>
    <w:rsid w:val="005F6B75"/>
    <w:rsid w:val="005F7F01"/>
    <w:rsid w:val="006115FD"/>
    <w:rsid w:val="00616BF8"/>
    <w:rsid w:val="0063414B"/>
    <w:rsid w:val="00642F79"/>
    <w:rsid w:val="00645EB1"/>
    <w:rsid w:val="00667E6D"/>
    <w:rsid w:val="00673DF1"/>
    <w:rsid w:val="006759EC"/>
    <w:rsid w:val="00687B17"/>
    <w:rsid w:val="0069442A"/>
    <w:rsid w:val="006B408B"/>
    <w:rsid w:val="006B4506"/>
    <w:rsid w:val="006F2FF7"/>
    <w:rsid w:val="006F3F41"/>
    <w:rsid w:val="00711725"/>
    <w:rsid w:val="00713883"/>
    <w:rsid w:val="00714A8C"/>
    <w:rsid w:val="00741D3B"/>
    <w:rsid w:val="007420BF"/>
    <w:rsid w:val="00747F7D"/>
    <w:rsid w:val="007765BD"/>
    <w:rsid w:val="00782092"/>
    <w:rsid w:val="0078667C"/>
    <w:rsid w:val="0079769E"/>
    <w:rsid w:val="007C0375"/>
    <w:rsid w:val="007F147F"/>
    <w:rsid w:val="00800EA8"/>
    <w:rsid w:val="008200CB"/>
    <w:rsid w:val="008401CF"/>
    <w:rsid w:val="008541B7"/>
    <w:rsid w:val="0088160A"/>
    <w:rsid w:val="00886909"/>
    <w:rsid w:val="00890742"/>
    <w:rsid w:val="008912B2"/>
    <w:rsid w:val="008A68A1"/>
    <w:rsid w:val="008D27CA"/>
    <w:rsid w:val="008F3B8D"/>
    <w:rsid w:val="00903D20"/>
    <w:rsid w:val="00931473"/>
    <w:rsid w:val="00937AE7"/>
    <w:rsid w:val="00940509"/>
    <w:rsid w:val="0094142F"/>
    <w:rsid w:val="00945A28"/>
    <w:rsid w:val="00962667"/>
    <w:rsid w:val="009A1E03"/>
    <w:rsid w:val="009B2E3A"/>
    <w:rsid w:val="009B609B"/>
    <w:rsid w:val="009C6502"/>
    <w:rsid w:val="009D024B"/>
    <w:rsid w:val="009E25A1"/>
    <w:rsid w:val="009E5DF1"/>
    <w:rsid w:val="009F0851"/>
    <w:rsid w:val="009F0B0E"/>
    <w:rsid w:val="00A03DEC"/>
    <w:rsid w:val="00A376EA"/>
    <w:rsid w:val="00A858B1"/>
    <w:rsid w:val="00A95B64"/>
    <w:rsid w:val="00AA523B"/>
    <w:rsid w:val="00AB1645"/>
    <w:rsid w:val="00AD63EA"/>
    <w:rsid w:val="00B04EC0"/>
    <w:rsid w:val="00B21AF9"/>
    <w:rsid w:val="00B453FA"/>
    <w:rsid w:val="00B4747E"/>
    <w:rsid w:val="00B51283"/>
    <w:rsid w:val="00B51E9C"/>
    <w:rsid w:val="00B5432B"/>
    <w:rsid w:val="00B577D6"/>
    <w:rsid w:val="00B64842"/>
    <w:rsid w:val="00B73404"/>
    <w:rsid w:val="00B92D6F"/>
    <w:rsid w:val="00B95186"/>
    <w:rsid w:val="00B96491"/>
    <w:rsid w:val="00BB3C91"/>
    <w:rsid w:val="00BC594E"/>
    <w:rsid w:val="00BE1780"/>
    <w:rsid w:val="00BE46D9"/>
    <w:rsid w:val="00C037EE"/>
    <w:rsid w:val="00C06406"/>
    <w:rsid w:val="00C10576"/>
    <w:rsid w:val="00C10F2D"/>
    <w:rsid w:val="00C27384"/>
    <w:rsid w:val="00C70BDC"/>
    <w:rsid w:val="00C764C3"/>
    <w:rsid w:val="00C808BD"/>
    <w:rsid w:val="00C96DD2"/>
    <w:rsid w:val="00CA5D81"/>
    <w:rsid w:val="00CA6FC8"/>
    <w:rsid w:val="00CD4735"/>
    <w:rsid w:val="00CE0687"/>
    <w:rsid w:val="00CE234E"/>
    <w:rsid w:val="00CE6BA8"/>
    <w:rsid w:val="00CE7F1D"/>
    <w:rsid w:val="00D12A7B"/>
    <w:rsid w:val="00D14C19"/>
    <w:rsid w:val="00D20CC0"/>
    <w:rsid w:val="00D26970"/>
    <w:rsid w:val="00D27CC4"/>
    <w:rsid w:val="00D404D9"/>
    <w:rsid w:val="00D72CDD"/>
    <w:rsid w:val="00D80977"/>
    <w:rsid w:val="00D87D1A"/>
    <w:rsid w:val="00D9316C"/>
    <w:rsid w:val="00DA1C77"/>
    <w:rsid w:val="00DA25E4"/>
    <w:rsid w:val="00DB5A1E"/>
    <w:rsid w:val="00DD3C18"/>
    <w:rsid w:val="00DD7B3A"/>
    <w:rsid w:val="00DE394E"/>
    <w:rsid w:val="00DE69AD"/>
    <w:rsid w:val="00DF73FF"/>
    <w:rsid w:val="00E150C0"/>
    <w:rsid w:val="00E177C5"/>
    <w:rsid w:val="00E32AC4"/>
    <w:rsid w:val="00E35E4A"/>
    <w:rsid w:val="00E36087"/>
    <w:rsid w:val="00E768E6"/>
    <w:rsid w:val="00E81E1A"/>
    <w:rsid w:val="00EB23A5"/>
    <w:rsid w:val="00EC13C6"/>
    <w:rsid w:val="00EC7EE7"/>
    <w:rsid w:val="00EF47F7"/>
    <w:rsid w:val="00F01531"/>
    <w:rsid w:val="00F45AB3"/>
    <w:rsid w:val="00F57D9A"/>
    <w:rsid w:val="00F92374"/>
    <w:rsid w:val="00F92647"/>
    <w:rsid w:val="00F92FF8"/>
    <w:rsid w:val="00F94949"/>
    <w:rsid w:val="00FA12C1"/>
    <w:rsid w:val="00FB22B9"/>
    <w:rsid w:val="00FC1265"/>
    <w:rsid w:val="00FC6917"/>
    <w:rsid w:val="00FE026E"/>
    <w:rsid w:val="00FE13FF"/>
    <w:rsid w:val="00FE5C14"/>
    <w:rsid w:val="00FF7F41"/>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character" w:styleId="UnresolvedMention">
    <w:name w:val="Unresolved Mention"/>
    <w:basedOn w:val="DefaultParagraphFont"/>
    <w:uiPriority w:val="99"/>
    <w:semiHidden/>
    <w:unhideWhenUsed/>
    <w:rsid w:val="009B6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ors.nabriva.com/news-releases/news-release-details/nabriva-therapeutics-receives-us-fda-approval-xenle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ptodate-com.suproxy.su.edu/contents/treatment-of-community-acquired-pneumonia-in-adults-in-the-outpatient-setting?search=community&#160;acquired&#160;pneumonia&#160;treatment&amp;source=search_result&amp;selectedTitle=3~150&amp;usage_type=default&amp;display_rank=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news-events/press-announcements/fda-approves-new-antibiotic-treat-community-acquired-bacterial-pneumoni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altrials.gov/ct2/show/NCT025593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2.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3.xml><?xml version="1.0" encoding="utf-8"?>
<ds:datastoreItem xmlns:ds="http://schemas.openxmlformats.org/officeDocument/2006/customXml" ds:itemID="{DB5AD90A-153D-4B98-A9F0-FD916B2BD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1</TotalTime>
  <Pages>6</Pages>
  <Words>1269</Words>
  <Characters>7236</Characters>
  <Application>Microsoft Office Word</Application>
  <DocSecurity>4</DocSecurity>
  <Lines>60</Lines>
  <Paragraphs>16</Paragraphs>
  <ScaleCrop>false</ScaleCrop>
  <Company/>
  <LinksUpToDate>false</LinksUpToDate>
  <CharactersWithSpaces>8489</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2026-05-22T02:49:00Z</cp:lastPrinted>
  <dcterms:created xsi:type="dcterms:W3CDTF">2026-06-02T03:32:00Z</dcterms:created>
  <dcterms:modified xsi:type="dcterms:W3CDTF">2026-06-02T03:32:00Z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