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6E745" w14:textId="47690F04" w:rsidR="00E768E6" w:rsidRDefault="00B21AF9" w:rsidP="0042476C">
      <w:pPr>
        <w:pStyle w:val="Title"/>
        <w:spacing w:before="0"/>
      </w:pPr>
      <w:r>
        <w:t>E</w:t>
      </w:r>
      <w:r w:rsidR="21CF55F4">
        <w:t>VH</w:t>
      </w:r>
      <w:r>
        <w:t xml:space="preserve"> Clinical Guideline </w:t>
      </w:r>
      <w:r w:rsidR="00C873E9">
        <w:t>5093</w:t>
      </w:r>
      <w:r w:rsidR="005F7F01">
        <w:t>.CC</w:t>
      </w:r>
      <w:r>
        <w:t xml:space="preserve"> for </w:t>
      </w:r>
      <w:r w:rsidR="006A14AE">
        <w:t>Casgevy</w:t>
      </w:r>
      <w:r w:rsidR="001C3750">
        <w:t xml:space="preserve"> (exagam</w:t>
      </w:r>
      <w:r w:rsidR="006E1B27">
        <w:t>glogene autotemcel)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69"/>
        <w:gridCol w:w="3153"/>
        <w:gridCol w:w="2728"/>
      </w:tblGrid>
      <w:tr w:rsidR="00E768E6" w14:paraId="50F6E74B" w14:textId="77777777">
        <w:tc>
          <w:tcPr>
            <w:tcW w:w="0" w:type="auto"/>
          </w:tcPr>
          <w:p w14:paraId="50F6E748" w14:textId="71873277" w:rsidR="00E768E6" w:rsidRDefault="00B21AF9" w:rsidP="006F2FF7">
            <w:pPr>
              <w:pStyle w:val="TitleTable"/>
            </w:pPr>
            <w:r>
              <w:t>Guideline Number:</w:t>
            </w:r>
          </w:p>
          <w:p w14:paraId="50F6E749" w14:textId="4145B2C9" w:rsidR="00E768E6" w:rsidRPr="006F2FF7" w:rsidRDefault="006F2FF7" w:rsidP="006F2FF7">
            <w:pPr>
              <w:pStyle w:val="TitleTable"/>
              <w:rPr>
                <w:b w:val="0"/>
                <w:bCs/>
              </w:rPr>
            </w:pPr>
            <w:r w:rsidRPr="006F2FF7">
              <w:rPr>
                <w:b w:val="0"/>
                <w:bCs/>
              </w:rPr>
              <w:t>E</w:t>
            </w:r>
            <w:r w:rsidR="005F7F01">
              <w:rPr>
                <w:b w:val="0"/>
                <w:bCs/>
              </w:rPr>
              <w:t>VH</w:t>
            </w:r>
            <w:r w:rsidRPr="006F2FF7">
              <w:rPr>
                <w:b w:val="0"/>
                <w:bCs/>
              </w:rPr>
              <w:t>_CG_</w:t>
            </w:r>
            <w:r w:rsidR="00C873E9">
              <w:rPr>
                <w:b w:val="0"/>
                <w:bCs/>
              </w:rPr>
              <w:t>5093</w:t>
            </w:r>
            <w:r w:rsidR="005F7F01">
              <w:rPr>
                <w:b w:val="0"/>
                <w:bCs/>
              </w:rPr>
              <w:t>.CC</w:t>
            </w:r>
          </w:p>
        </w:tc>
        <w:tc>
          <w:tcPr>
            <w:tcW w:w="0" w:type="auto"/>
            <w:gridSpan w:val="2"/>
          </w:tcPr>
          <w:p w14:paraId="50F6E74A" w14:textId="3B13AF84" w:rsidR="00E768E6" w:rsidRDefault="00B21AF9" w:rsidP="006F2FF7">
            <w:pPr>
              <w:pStyle w:val="TitleTable"/>
            </w:pPr>
            <w:hyperlink w:anchor="_Codes_(Table_below" w:history="1">
              <w:r>
                <w:rPr>
                  <w:rStyle w:val="Hyperlink"/>
                  <w:b/>
                </w:rPr>
                <w:t>Applicable Codes</w:t>
              </w:r>
            </w:hyperlink>
          </w:p>
        </w:tc>
      </w:tr>
      <w:tr w:rsidR="00E768E6" w14:paraId="50F6E74E" w14:textId="77777777">
        <w:tc>
          <w:tcPr>
            <w:tcW w:w="0" w:type="auto"/>
            <w:gridSpan w:val="3"/>
          </w:tcPr>
          <w:p w14:paraId="50F6E74C" w14:textId="77777777" w:rsidR="00E768E6" w:rsidRDefault="00B21AF9" w:rsidP="006F2FF7">
            <w:pPr>
              <w:pStyle w:val="TitleTable"/>
            </w:pPr>
            <w:r>
              <w:rPr>
                <w:i/>
                <w:iCs/>
              </w:rPr>
              <w:t>"Evolent" refers to Evolent Health LLC and Evolent Specialty Services, Inc.</w:t>
            </w:r>
          </w:p>
          <w:p w14:paraId="50F6E74D" w14:textId="6A9544F1" w:rsidR="00E768E6" w:rsidRDefault="00B21AF9" w:rsidP="006F2FF7">
            <w:pPr>
              <w:pStyle w:val="TitleTable"/>
            </w:pPr>
            <w:r>
              <w:rPr>
                <w:i/>
                <w:iCs/>
              </w:rPr>
              <w:t>© 202</w:t>
            </w:r>
            <w:r w:rsidR="00FE24AC">
              <w:rPr>
                <w:i/>
                <w:iCs/>
              </w:rPr>
              <w:t>4</w:t>
            </w:r>
            <w:r w:rsidR="00B64842">
              <w:rPr>
                <w:i/>
                <w:iCs/>
              </w:rPr>
              <w:t xml:space="preserve"> </w:t>
            </w:r>
            <w:r w:rsidR="002B4658">
              <w:rPr>
                <w:i/>
                <w:iCs/>
              </w:rPr>
              <w:t>-</w:t>
            </w:r>
            <w:r w:rsidR="00B64842">
              <w:rPr>
                <w:i/>
                <w:iCs/>
              </w:rPr>
              <w:t xml:space="preserve"> 202</w:t>
            </w:r>
            <w:r w:rsidR="00FA2F64">
              <w:rPr>
                <w:i/>
                <w:iCs/>
              </w:rPr>
              <w:t>6</w:t>
            </w:r>
            <w:r>
              <w:rPr>
                <w:i/>
                <w:iCs/>
              </w:rPr>
              <w:t xml:space="preserve"> Evolent. All rights Reserved.</w:t>
            </w:r>
          </w:p>
        </w:tc>
      </w:tr>
      <w:tr w:rsidR="00E768E6" w14:paraId="50F6E755" w14:textId="77777777" w:rsidTr="006F2FF7">
        <w:tc>
          <w:tcPr>
            <w:tcW w:w="0" w:type="auto"/>
          </w:tcPr>
          <w:p w14:paraId="50F6E74F" w14:textId="77777777" w:rsidR="00E768E6" w:rsidRDefault="00B21AF9" w:rsidP="006F2FF7">
            <w:pPr>
              <w:pStyle w:val="TitleTable"/>
            </w:pPr>
            <w:r>
              <w:t>Original Date:</w:t>
            </w:r>
          </w:p>
          <w:p w14:paraId="50F6E750" w14:textId="100C7F77" w:rsidR="00E768E6" w:rsidRPr="006F2FF7" w:rsidRDefault="00FE24AC" w:rsidP="006F2FF7">
            <w:pPr>
              <w:pStyle w:val="TitleTable"/>
              <w:rPr>
                <w:b w:val="0"/>
                <w:bCs/>
              </w:rPr>
            </w:pPr>
            <w:r>
              <w:rPr>
                <w:b w:val="0"/>
                <w:bCs/>
              </w:rPr>
              <w:t>August 2024</w:t>
            </w:r>
          </w:p>
        </w:tc>
        <w:tc>
          <w:tcPr>
            <w:tcW w:w="1686" w:type="pct"/>
          </w:tcPr>
          <w:p w14:paraId="50F6E751" w14:textId="77777777" w:rsidR="00E768E6" w:rsidRDefault="00B21AF9" w:rsidP="006F2FF7">
            <w:pPr>
              <w:pStyle w:val="TitleTable"/>
            </w:pPr>
            <w:r>
              <w:t>Last Revised Date:</w:t>
            </w:r>
          </w:p>
          <w:p w14:paraId="50F6E752" w14:textId="62FAFEB3" w:rsidR="00E768E6" w:rsidRPr="006F2FF7" w:rsidRDefault="00656174" w:rsidP="006F2FF7">
            <w:pPr>
              <w:pStyle w:val="TitleTable"/>
              <w:rPr>
                <w:b w:val="0"/>
                <w:bCs/>
              </w:rPr>
            </w:pPr>
            <w:r>
              <w:rPr>
                <w:b w:val="0"/>
                <w:bCs/>
              </w:rPr>
              <w:t>March</w:t>
            </w:r>
            <w:r w:rsidR="00E11670">
              <w:rPr>
                <w:b w:val="0"/>
                <w:bCs/>
              </w:rPr>
              <w:t xml:space="preserve"> 202</w:t>
            </w:r>
            <w:r w:rsidR="001201F3">
              <w:rPr>
                <w:b w:val="0"/>
                <w:bCs/>
              </w:rPr>
              <w:t>6</w:t>
            </w:r>
          </w:p>
        </w:tc>
        <w:tc>
          <w:tcPr>
            <w:tcW w:w="1459" w:type="pct"/>
          </w:tcPr>
          <w:p w14:paraId="50F6E753" w14:textId="77777777" w:rsidR="00E768E6" w:rsidRDefault="00B21AF9" w:rsidP="006F2FF7">
            <w:pPr>
              <w:pStyle w:val="TitleTable"/>
            </w:pPr>
            <w:r>
              <w:t>Implementation Date:</w:t>
            </w:r>
          </w:p>
          <w:p w14:paraId="50F6E754" w14:textId="4C64A570" w:rsidR="00E768E6" w:rsidRPr="006F2FF7" w:rsidRDefault="00003758" w:rsidP="006F2FF7">
            <w:pPr>
              <w:pStyle w:val="TitleTable"/>
              <w:rPr>
                <w:b w:val="0"/>
                <w:bCs/>
              </w:rPr>
            </w:pPr>
            <w:r>
              <w:rPr>
                <w:b w:val="0"/>
                <w:bCs/>
              </w:rPr>
              <w:t>June</w:t>
            </w:r>
            <w:r w:rsidR="00E11670">
              <w:rPr>
                <w:b w:val="0"/>
                <w:bCs/>
              </w:rPr>
              <w:t xml:space="preserve"> 202</w:t>
            </w:r>
            <w:r w:rsidR="001201F3">
              <w:rPr>
                <w:b w:val="0"/>
                <w:bCs/>
              </w:rPr>
              <w:t>6</w:t>
            </w:r>
          </w:p>
        </w:tc>
      </w:tr>
    </w:tbl>
    <w:sdt>
      <w:sdtPr>
        <w:rPr>
          <w:rFonts w:eastAsia="Times New Roman" w:cs="Times New Roman"/>
          <w:sz w:val="20"/>
          <w:szCs w:val="22"/>
        </w:rPr>
        <w:id w:val="-1496021035"/>
        <w:docPartObj>
          <w:docPartGallery w:val="Table of Contents"/>
          <w:docPartUnique/>
        </w:docPartObj>
      </w:sdtPr>
      <w:sdtEndPr>
        <w:rPr>
          <w:b w:val="0"/>
          <w:szCs w:val="20"/>
        </w:rPr>
      </w:sdtEndPr>
      <w:sdtContent>
        <w:p w14:paraId="462526E1" w14:textId="716539E4" w:rsidR="00A03DEC" w:rsidRDefault="00A03DEC">
          <w:pPr>
            <w:pStyle w:val="TOCHeading"/>
          </w:pPr>
          <w:r>
            <w:t>Table of Contents</w:t>
          </w:r>
        </w:p>
        <w:p w14:paraId="7B445ECA" w14:textId="3552023E" w:rsidR="00F02B20" w:rsidRDefault="00A03DEC">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r>
            <w:fldChar w:fldCharType="begin"/>
          </w:r>
          <w:r>
            <w:instrText xml:space="preserve"> TOC \o "1-3" \h \z \u </w:instrText>
          </w:r>
          <w:r>
            <w:fldChar w:fldCharType="separate"/>
          </w:r>
          <w:hyperlink w:anchor="_Toc225163067" w:history="1">
            <w:r w:rsidR="00F02B20" w:rsidRPr="005C2F37">
              <w:rPr>
                <w:rStyle w:val="Hyperlink"/>
                <w:noProof/>
              </w:rPr>
              <w:t>Statement</w:t>
            </w:r>
            <w:r w:rsidR="00F02B20">
              <w:rPr>
                <w:noProof/>
                <w:webHidden/>
              </w:rPr>
              <w:tab/>
            </w:r>
            <w:r w:rsidR="00F02B20">
              <w:rPr>
                <w:noProof/>
                <w:webHidden/>
              </w:rPr>
              <w:fldChar w:fldCharType="begin"/>
            </w:r>
            <w:r w:rsidR="00F02B20">
              <w:rPr>
                <w:noProof/>
                <w:webHidden/>
              </w:rPr>
              <w:instrText xml:space="preserve"> PAGEREF _Toc225163067 \h </w:instrText>
            </w:r>
            <w:r w:rsidR="00F02B20">
              <w:rPr>
                <w:noProof/>
                <w:webHidden/>
              </w:rPr>
            </w:r>
            <w:r w:rsidR="00F02B20">
              <w:rPr>
                <w:noProof/>
                <w:webHidden/>
              </w:rPr>
              <w:fldChar w:fldCharType="separate"/>
            </w:r>
            <w:r w:rsidR="00F02B20">
              <w:rPr>
                <w:noProof/>
                <w:webHidden/>
              </w:rPr>
              <w:t>2</w:t>
            </w:r>
            <w:r w:rsidR="00F02B20">
              <w:rPr>
                <w:noProof/>
                <w:webHidden/>
              </w:rPr>
              <w:fldChar w:fldCharType="end"/>
            </w:r>
          </w:hyperlink>
        </w:p>
        <w:p w14:paraId="08F55962" w14:textId="2030A06B" w:rsidR="00F02B20" w:rsidRDefault="00F02B20">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63068" w:history="1">
            <w:r w:rsidRPr="005C2F37">
              <w:rPr>
                <w:rStyle w:val="Hyperlink"/>
                <w:noProof/>
              </w:rPr>
              <w:t>General Information</w:t>
            </w:r>
            <w:r>
              <w:rPr>
                <w:noProof/>
                <w:webHidden/>
              </w:rPr>
              <w:tab/>
            </w:r>
            <w:r>
              <w:rPr>
                <w:noProof/>
                <w:webHidden/>
              </w:rPr>
              <w:fldChar w:fldCharType="begin"/>
            </w:r>
            <w:r>
              <w:rPr>
                <w:noProof/>
                <w:webHidden/>
              </w:rPr>
              <w:instrText xml:space="preserve"> PAGEREF _Toc225163068 \h </w:instrText>
            </w:r>
            <w:r>
              <w:rPr>
                <w:noProof/>
                <w:webHidden/>
              </w:rPr>
            </w:r>
            <w:r>
              <w:rPr>
                <w:noProof/>
                <w:webHidden/>
              </w:rPr>
              <w:fldChar w:fldCharType="separate"/>
            </w:r>
            <w:r>
              <w:rPr>
                <w:noProof/>
                <w:webHidden/>
              </w:rPr>
              <w:t>2</w:t>
            </w:r>
            <w:r>
              <w:rPr>
                <w:noProof/>
                <w:webHidden/>
              </w:rPr>
              <w:fldChar w:fldCharType="end"/>
            </w:r>
          </w:hyperlink>
        </w:p>
        <w:p w14:paraId="4772AA97" w14:textId="48E4C448" w:rsidR="00F02B20" w:rsidRDefault="00F02B20">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63069" w:history="1">
            <w:r w:rsidRPr="005C2F37">
              <w:rPr>
                <w:rStyle w:val="Hyperlink"/>
                <w:noProof/>
              </w:rPr>
              <w:t>Purpose</w:t>
            </w:r>
            <w:r>
              <w:rPr>
                <w:noProof/>
                <w:webHidden/>
              </w:rPr>
              <w:tab/>
            </w:r>
            <w:r>
              <w:rPr>
                <w:noProof/>
                <w:webHidden/>
              </w:rPr>
              <w:fldChar w:fldCharType="begin"/>
            </w:r>
            <w:r>
              <w:rPr>
                <w:noProof/>
                <w:webHidden/>
              </w:rPr>
              <w:instrText xml:space="preserve"> PAGEREF _Toc225163069 \h </w:instrText>
            </w:r>
            <w:r>
              <w:rPr>
                <w:noProof/>
                <w:webHidden/>
              </w:rPr>
            </w:r>
            <w:r>
              <w:rPr>
                <w:noProof/>
                <w:webHidden/>
              </w:rPr>
              <w:fldChar w:fldCharType="separate"/>
            </w:r>
            <w:r>
              <w:rPr>
                <w:noProof/>
                <w:webHidden/>
              </w:rPr>
              <w:t>2</w:t>
            </w:r>
            <w:r>
              <w:rPr>
                <w:noProof/>
                <w:webHidden/>
              </w:rPr>
              <w:fldChar w:fldCharType="end"/>
            </w:r>
          </w:hyperlink>
        </w:p>
        <w:p w14:paraId="15074038" w14:textId="534FAC29" w:rsidR="00F02B20" w:rsidRDefault="00F02B20">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63070" w:history="1">
            <w:r w:rsidRPr="005C2F37">
              <w:rPr>
                <w:rStyle w:val="Hyperlink"/>
                <w:noProof/>
              </w:rPr>
              <w:t>Scope</w:t>
            </w:r>
            <w:r>
              <w:rPr>
                <w:noProof/>
                <w:webHidden/>
              </w:rPr>
              <w:tab/>
            </w:r>
            <w:r>
              <w:rPr>
                <w:noProof/>
                <w:webHidden/>
              </w:rPr>
              <w:fldChar w:fldCharType="begin"/>
            </w:r>
            <w:r>
              <w:rPr>
                <w:noProof/>
                <w:webHidden/>
              </w:rPr>
              <w:instrText xml:space="preserve"> PAGEREF _Toc225163070 \h </w:instrText>
            </w:r>
            <w:r>
              <w:rPr>
                <w:noProof/>
                <w:webHidden/>
              </w:rPr>
            </w:r>
            <w:r>
              <w:rPr>
                <w:noProof/>
                <w:webHidden/>
              </w:rPr>
              <w:fldChar w:fldCharType="separate"/>
            </w:r>
            <w:r>
              <w:rPr>
                <w:noProof/>
                <w:webHidden/>
              </w:rPr>
              <w:t>2</w:t>
            </w:r>
            <w:r>
              <w:rPr>
                <w:noProof/>
                <w:webHidden/>
              </w:rPr>
              <w:fldChar w:fldCharType="end"/>
            </w:r>
          </w:hyperlink>
        </w:p>
        <w:p w14:paraId="52376442" w14:textId="50EBBFE0" w:rsidR="00F02B20" w:rsidRDefault="00F02B20">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163071" w:history="1">
            <w:r w:rsidRPr="005C2F37">
              <w:rPr>
                <w:rStyle w:val="Hyperlink"/>
                <w:noProof/>
              </w:rPr>
              <w:t>INITIAL REVIEW CRITERIA</w:t>
            </w:r>
            <w:r>
              <w:rPr>
                <w:noProof/>
                <w:webHidden/>
              </w:rPr>
              <w:tab/>
            </w:r>
            <w:r>
              <w:rPr>
                <w:noProof/>
                <w:webHidden/>
              </w:rPr>
              <w:fldChar w:fldCharType="begin"/>
            </w:r>
            <w:r>
              <w:rPr>
                <w:noProof/>
                <w:webHidden/>
              </w:rPr>
              <w:instrText xml:space="preserve"> PAGEREF _Toc225163071 \h </w:instrText>
            </w:r>
            <w:r>
              <w:rPr>
                <w:noProof/>
                <w:webHidden/>
              </w:rPr>
            </w:r>
            <w:r>
              <w:rPr>
                <w:noProof/>
                <w:webHidden/>
              </w:rPr>
              <w:fldChar w:fldCharType="separate"/>
            </w:r>
            <w:r>
              <w:rPr>
                <w:noProof/>
                <w:webHidden/>
              </w:rPr>
              <w:t>2</w:t>
            </w:r>
            <w:r>
              <w:rPr>
                <w:noProof/>
                <w:webHidden/>
              </w:rPr>
              <w:fldChar w:fldCharType="end"/>
            </w:r>
          </w:hyperlink>
        </w:p>
        <w:p w14:paraId="320E0F7E" w14:textId="7617F854" w:rsidR="00F02B20" w:rsidRDefault="00F02B20">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63072" w:history="1">
            <w:r w:rsidRPr="005C2F37">
              <w:rPr>
                <w:rStyle w:val="Hyperlink"/>
                <w:noProof/>
              </w:rPr>
              <w:t>Sickle Cell Disease</w:t>
            </w:r>
            <w:r>
              <w:rPr>
                <w:noProof/>
                <w:webHidden/>
              </w:rPr>
              <w:tab/>
            </w:r>
            <w:r>
              <w:rPr>
                <w:noProof/>
                <w:webHidden/>
              </w:rPr>
              <w:fldChar w:fldCharType="begin"/>
            </w:r>
            <w:r>
              <w:rPr>
                <w:noProof/>
                <w:webHidden/>
              </w:rPr>
              <w:instrText xml:space="preserve"> PAGEREF _Toc225163072 \h </w:instrText>
            </w:r>
            <w:r>
              <w:rPr>
                <w:noProof/>
                <w:webHidden/>
              </w:rPr>
            </w:r>
            <w:r>
              <w:rPr>
                <w:noProof/>
                <w:webHidden/>
              </w:rPr>
              <w:fldChar w:fldCharType="separate"/>
            </w:r>
            <w:r>
              <w:rPr>
                <w:noProof/>
                <w:webHidden/>
              </w:rPr>
              <w:t>2</w:t>
            </w:r>
            <w:r>
              <w:rPr>
                <w:noProof/>
                <w:webHidden/>
              </w:rPr>
              <w:fldChar w:fldCharType="end"/>
            </w:r>
          </w:hyperlink>
        </w:p>
        <w:p w14:paraId="6075349B" w14:textId="32345F82" w:rsidR="00F02B20" w:rsidRDefault="00F02B20">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63073" w:history="1">
            <w:r w:rsidRPr="005C2F37">
              <w:rPr>
                <w:rStyle w:val="Hyperlink"/>
                <w:noProof/>
              </w:rPr>
              <w:t>Transfusion-Dependent Beta Thalassemia</w:t>
            </w:r>
            <w:r>
              <w:rPr>
                <w:noProof/>
                <w:webHidden/>
              </w:rPr>
              <w:tab/>
            </w:r>
            <w:r>
              <w:rPr>
                <w:noProof/>
                <w:webHidden/>
              </w:rPr>
              <w:fldChar w:fldCharType="begin"/>
            </w:r>
            <w:r>
              <w:rPr>
                <w:noProof/>
                <w:webHidden/>
              </w:rPr>
              <w:instrText xml:space="preserve"> PAGEREF _Toc225163073 \h </w:instrText>
            </w:r>
            <w:r>
              <w:rPr>
                <w:noProof/>
                <w:webHidden/>
              </w:rPr>
            </w:r>
            <w:r>
              <w:rPr>
                <w:noProof/>
                <w:webHidden/>
              </w:rPr>
              <w:fldChar w:fldCharType="separate"/>
            </w:r>
            <w:r>
              <w:rPr>
                <w:noProof/>
                <w:webHidden/>
              </w:rPr>
              <w:t>3</w:t>
            </w:r>
            <w:r>
              <w:rPr>
                <w:noProof/>
                <w:webHidden/>
              </w:rPr>
              <w:fldChar w:fldCharType="end"/>
            </w:r>
          </w:hyperlink>
        </w:p>
        <w:p w14:paraId="0B70045D" w14:textId="3460E761" w:rsidR="00F02B20" w:rsidRDefault="00F02B20">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163074" w:history="1">
            <w:r w:rsidRPr="005C2F37">
              <w:rPr>
                <w:rStyle w:val="Hyperlink"/>
                <w:noProof/>
              </w:rPr>
              <w:t>Reauthorization Criteria</w:t>
            </w:r>
            <w:r>
              <w:rPr>
                <w:noProof/>
                <w:webHidden/>
              </w:rPr>
              <w:tab/>
            </w:r>
            <w:r>
              <w:rPr>
                <w:noProof/>
                <w:webHidden/>
              </w:rPr>
              <w:fldChar w:fldCharType="begin"/>
            </w:r>
            <w:r>
              <w:rPr>
                <w:noProof/>
                <w:webHidden/>
              </w:rPr>
              <w:instrText xml:space="preserve"> PAGEREF _Toc225163074 \h </w:instrText>
            </w:r>
            <w:r>
              <w:rPr>
                <w:noProof/>
                <w:webHidden/>
              </w:rPr>
            </w:r>
            <w:r>
              <w:rPr>
                <w:noProof/>
                <w:webHidden/>
              </w:rPr>
              <w:fldChar w:fldCharType="separate"/>
            </w:r>
            <w:r>
              <w:rPr>
                <w:noProof/>
                <w:webHidden/>
              </w:rPr>
              <w:t>4</w:t>
            </w:r>
            <w:r>
              <w:rPr>
                <w:noProof/>
                <w:webHidden/>
              </w:rPr>
              <w:fldChar w:fldCharType="end"/>
            </w:r>
          </w:hyperlink>
        </w:p>
        <w:p w14:paraId="63642665" w14:textId="0915BE47" w:rsidR="00F02B20" w:rsidRDefault="00F02B20">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163075" w:history="1">
            <w:r w:rsidRPr="005C2F37">
              <w:rPr>
                <w:rStyle w:val="Hyperlink"/>
                <w:noProof/>
              </w:rPr>
              <w:t>Approval Durations</w:t>
            </w:r>
            <w:r>
              <w:rPr>
                <w:noProof/>
                <w:webHidden/>
              </w:rPr>
              <w:tab/>
            </w:r>
            <w:r>
              <w:rPr>
                <w:noProof/>
                <w:webHidden/>
              </w:rPr>
              <w:fldChar w:fldCharType="begin"/>
            </w:r>
            <w:r>
              <w:rPr>
                <w:noProof/>
                <w:webHidden/>
              </w:rPr>
              <w:instrText xml:space="preserve"> PAGEREF _Toc225163075 \h </w:instrText>
            </w:r>
            <w:r>
              <w:rPr>
                <w:noProof/>
                <w:webHidden/>
              </w:rPr>
            </w:r>
            <w:r>
              <w:rPr>
                <w:noProof/>
                <w:webHidden/>
              </w:rPr>
              <w:fldChar w:fldCharType="separate"/>
            </w:r>
            <w:r>
              <w:rPr>
                <w:noProof/>
                <w:webHidden/>
              </w:rPr>
              <w:t>4</w:t>
            </w:r>
            <w:r>
              <w:rPr>
                <w:noProof/>
                <w:webHidden/>
              </w:rPr>
              <w:fldChar w:fldCharType="end"/>
            </w:r>
          </w:hyperlink>
        </w:p>
        <w:p w14:paraId="1421DCE4" w14:textId="59A05F93" w:rsidR="00F02B20" w:rsidRDefault="00F02B20">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163076" w:history="1">
            <w:r w:rsidRPr="005C2F37">
              <w:rPr>
                <w:rStyle w:val="Hyperlink"/>
                <w:noProof/>
              </w:rPr>
              <w:t>Coding and Standards</w:t>
            </w:r>
            <w:r>
              <w:rPr>
                <w:noProof/>
                <w:webHidden/>
              </w:rPr>
              <w:tab/>
            </w:r>
            <w:r>
              <w:rPr>
                <w:noProof/>
                <w:webHidden/>
              </w:rPr>
              <w:fldChar w:fldCharType="begin"/>
            </w:r>
            <w:r>
              <w:rPr>
                <w:noProof/>
                <w:webHidden/>
              </w:rPr>
              <w:instrText xml:space="preserve"> PAGEREF _Toc225163076 \h </w:instrText>
            </w:r>
            <w:r>
              <w:rPr>
                <w:noProof/>
                <w:webHidden/>
              </w:rPr>
            </w:r>
            <w:r>
              <w:rPr>
                <w:noProof/>
                <w:webHidden/>
              </w:rPr>
              <w:fldChar w:fldCharType="separate"/>
            </w:r>
            <w:r>
              <w:rPr>
                <w:noProof/>
                <w:webHidden/>
              </w:rPr>
              <w:t>4</w:t>
            </w:r>
            <w:r>
              <w:rPr>
                <w:noProof/>
                <w:webHidden/>
              </w:rPr>
              <w:fldChar w:fldCharType="end"/>
            </w:r>
          </w:hyperlink>
        </w:p>
        <w:p w14:paraId="7223D564" w14:textId="4CFB7040" w:rsidR="00F02B20" w:rsidRDefault="00F02B20">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63077" w:history="1">
            <w:r w:rsidRPr="005C2F37">
              <w:rPr>
                <w:rStyle w:val="Hyperlink"/>
                <w:noProof/>
              </w:rPr>
              <w:t>Codes</w:t>
            </w:r>
            <w:r>
              <w:rPr>
                <w:noProof/>
                <w:webHidden/>
              </w:rPr>
              <w:tab/>
            </w:r>
            <w:r>
              <w:rPr>
                <w:noProof/>
                <w:webHidden/>
              </w:rPr>
              <w:fldChar w:fldCharType="begin"/>
            </w:r>
            <w:r>
              <w:rPr>
                <w:noProof/>
                <w:webHidden/>
              </w:rPr>
              <w:instrText xml:space="preserve"> PAGEREF _Toc225163077 \h </w:instrText>
            </w:r>
            <w:r>
              <w:rPr>
                <w:noProof/>
                <w:webHidden/>
              </w:rPr>
            </w:r>
            <w:r>
              <w:rPr>
                <w:noProof/>
                <w:webHidden/>
              </w:rPr>
              <w:fldChar w:fldCharType="separate"/>
            </w:r>
            <w:r>
              <w:rPr>
                <w:noProof/>
                <w:webHidden/>
              </w:rPr>
              <w:t>4</w:t>
            </w:r>
            <w:r>
              <w:rPr>
                <w:noProof/>
                <w:webHidden/>
              </w:rPr>
              <w:fldChar w:fldCharType="end"/>
            </w:r>
          </w:hyperlink>
        </w:p>
        <w:p w14:paraId="63BE50DE" w14:textId="6CB8E2C3" w:rsidR="00F02B20" w:rsidRDefault="00F02B20">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63078" w:history="1">
            <w:r w:rsidRPr="005C2F37">
              <w:rPr>
                <w:rStyle w:val="Hyperlink"/>
                <w:noProof/>
              </w:rPr>
              <w:t>Applicable Lines of Business</w:t>
            </w:r>
            <w:r>
              <w:rPr>
                <w:noProof/>
                <w:webHidden/>
              </w:rPr>
              <w:tab/>
            </w:r>
            <w:r>
              <w:rPr>
                <w:noProof/>
                <w:webHidden/>
              </w:rPr>
              <w:fldChar w:fldCharType="begin"/>
            </w:r>
            <w:r>
              <w:rPr>
                <w:noProof/>
                <w:webHidden/>
              </w:rPr>
              <w:instrText xml:space="preserve"> PAGEREF _Toc225163078 \h </w:instrText>
            </w:r>
            <w:r>
              <w:rPr>
                <w:noProof/>
                <w:webHidden/>
              </w:rPr>
            </w:r>
            <w:r>
              <w:rPr>
                <w:noProof/>
                <w:webHidden/>
              </w:rPr>
              <w:fldChar w:fldCharType="separate"/>
            </w:r>
            <w:r>
              <w:rPr>
                <w:noProof/>
                <w:webHidden/>
              </w:rPr>
              <w:t>5</w:t>
            </w:r>
            <w:r>
              <w:rPr>
                <w:noProof/>
                <w:webHidden/>
              </w:rPr>
              <w:fldChar w:fldCharType="end"/>
            </w:r>
          </w:hyperlink>
        </w:p>
        <w:p w14:paraId="17313216" w14:textId="37042893" w:rsidR="00F02B20" w:rsidRDefault="00F02B20">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163079" w:history="1">
            <w:r w:rsidRPr="005C2F37">
              <w:rPr>
                <w:rStyle w:val="Hyperlink"/>
                <w:noProof/>
              </w:rPr>
              <w:t>Background</w:t>
            </w:r>
            <w:r>
              <w:rPr>
                <w:noProof/>
                <w:webHidden/>
              </w:rPr>
              <w:tab/>
            </w:r>
            <w:r>
              <w:rPr>
                <w:noProof/>
                <w:webHidden/>
              </w:rPr>
              <w:fldChar w:fldCharType="begin"/>
            </w:r>
            <w:r>
              <w:rPr>
                <w:noProof/>
                <w:webHidden/>
              </w:rPr>
              <w:instrText xml:space="preserve"> PAGEREF _Toc225163079 \h </w:instrText>
            </w:r>
            <w:r>
              <w:rPr>
                <w:noProof/>
                <w:webHidden/>
              </w:rPr>
            </w:r>
            <w:r>
              <w:rPr>
                <w:noProof/>
                <w:webHidden/>
              </w:rPr>
              <w:fldChar w:fldCharType="separate"/>
            </w:r>
            <w:r>
              <w:rPr>
                <w:noProof/>
                <w:webHidden/>
              </w:rPr>
              <w:t>5</w:t>
            </w:r>
            <w:r>
              <w:rPr>
                <w:noProof/>
                <w:webHidden/>
              </w:rPr>
              <w:fldChar w:fldCharType="end"/>
            </w:r>
          </w:hyperlink>
        </w:p>
        <w:p w14:paraId="555B3CE0" w14:textId="3C1F0D4C" w:rsidR="00F02B20" w:rsidRDefault="00F02B20">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63080" w:history="1">
            <w:r w:rsidRPr="005C2F37">
              <w:rPr>
                <w:rStyle w:val="Hyperlink"/>
                <w:noProof/>
              </w:rPr>
              <w:t>Definitions</w:t>
            </w:r>
            <w:r>
              <w:rPr>
                <w:noProof/>
                <w:webHidden/>
              </w:rPr>
              <w:tab/>
            </w:r>
            <w:r>
              <w:rPr>
                <w:noProof/>
                <w:webHidden/>
              </w:rPr>
              <w:fldChar w:fldCharType="begin"/>
            </w:r>
            <w:r>
              <w:rPr>
                <w:noProof/>
                <w:webHidden/>
              </w:rPr>
              <w:instrText xml:space="preserve"> PAGEREF _Toc225163080 \h </w:instrText>
            </w:r>
            <w:r>
              <w:rPr>
                <w:noProof/>
                <w:webHidden/>
              </w:rPr>
            </w:r>
            <w:r>
              <w:rPr>
                <w:noProof/>
                <w:webHidden/>
              </w:rPr>
              <w:fldChar w:fldCharType="separate"/>
            </w:r>
            <w:r>
              <w:rPr>
                <w:noProof/>
                <w:webHidden/>
              </w:rPr>
              <w:t>5</w:t>
            </w:r>
            <w:r>
              <w:rPr>
                <w:noProof/>
                <w:webHidden/>
              </w:rPr>
              <w:fldChar w:fldCharType="end"/>
            </w:r>
          </w:hyperlink>
        </w:p>
        <w:p w14:paraId="283B30C6" w14:textId="5DC3E4AB" w:rsidR="00F02B20" w:rsidRDefault="00F02B20">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163081" w:history="1">
            <w:r w:rsidRPr="005C2F37">
              <w:rPr>
                <w:rStyle w:val="Hyperlink"/>
                <w:noProof/>
              </w:rPr>
              <w:t>Policy History</w:t>
            </w:r>
            <w:r>
              <w:rPr>
                <w:noProof/>
                <w:webHidden/>
              </w:rPr>
              <w:tab/>
            </w:r>
            <w:r>
              <w:rPr>
                <w:noProof/>
                <w:webHidden/>
              </w:rPr>
              <w:fldChar w:fldCharType="begin"/>
            </w:r>
            <w:r>
              <w:rPr>
                <w:noProof/>
                <w:webHidden/>
              </w:rPr>
              <w:instrText xml:space="preserve"> PAGEREF _Toc225163081 \h </w:instrText>
            </w:r>
            <w:r>
              <w:rPr>
                <w:noProof/>
                <w:webHidden/>
              </w:rPr>
            </w:r>
            <w:r>
              <w:rPr>
                <w:noProof/>
                <w:webHidden/>
              </w:rPr>
              <w:fldChar w:fldCharType="separate"/>
            </w:r>
            <w:r>
              <w:rPr>
                <w:noProof/>
                <w:webHidden/>
              </w:rPr>
              <w:t>5</w:t>
            </w:r>
            <w:r>
              <w:rPr>
                <w:noProof/>
                <w:webHidden/>
              </w:rPr>
              <w:fldChar w:fldCharType="end"/>
            </w:r>
          </w:hyperlink>
        </w:p>
        <w:p w14:paraId="01CAD5C7" w14:textId="07E4CC4F" w:rsidR="00F02B20" w:rsidRDefault="00F02B20">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163082" w:history="1">
            <w:r w:rsidRPr="005C2F37">
              <w:rPr>
                <w:rStyle w:val="Hyperlink"/>
                <w:noProof/>
              </w:rPr>
              <w:t>Legal and Compliance</w:t>
            </w:r>
            <w:r>
              <w:rPr>
                <w:noProof/>
                <w:webHidden/>
              </w:rPr>
              <w:tab/>
            </w:r>
            <w:r>
              <w:rPr>
                <w:noProof/>
                <w:webHidden/>
              </w:rPr>
              <w:fldChar w:fldCharType="begin"/>
            </w:r>
            <w:r>
              <w:rPr>
                <w:noProof/>
                <w:webHidden/>
              </w:rPr>
              <w:instrText xml:space="preserve"> PAGEREF _Toc225163082 \h </w:instrText>
            </w:r>
            <w:r>
              <w:rPr>
                <w:noProof/>
                <w:webHidden/>
              </w:rPr>
            </w:r>
            <w:r>
              <w:rPr>
                <w:noProof/>
                <w:webHidden/>
              </w:rPr>
              <w:fldChar w:fldCharType="separate"/>
            </w:r>
            <w:r>
              <w:rPr>
                <w:noProof/>
                <w:webHidden/>
              </w:rPr>
              <w:t>5</w:t>
            </w:r>
            <w:r>
              <w:rPr>
                <w:noProof/>
                <w:webHidden/>
              </w:rPr>
              <w:fldChar w:fldCharType="end"/>
            </w:r>
          </w:hyperlink>
        </w:p>
        <w:p w14:paraId="5D77EF75" w14:textId="6BCA9AB6" w:rsidR="00F02B20" w:rsidRDefault="00F02B20">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63083" w:history="1">
            <w:r w:rsidRPr="005C2F37">
              <w:rPr>
                <w:rStyle w:val="Hyperlink"/>
                <w:noProof/>
              </w:rPr>
              <w:t>Guideline Approval</w:t>
            </w:r>
            <w:r>
              <w:rPr>
                <w:noProof/>
                <w:webHidden/>
              </w:rPr>
              <w:tab/>
            </w:r>
            <w:r>
              <w:rPr>
                <w:noProof/>
                <w:webHidden/>
              </w:rPr>
              <w:fldChar w:fldCharType="begin"/>
            </w:r>
            <w:r>
              <w:rPr>
                <w:noProof/>
                <w:webHidden/>
              </w:rPr>
              <w:instrText xml:space="preserve"> PAGEREF _Toc225163083 \h </w:instrText>
            </w:r>
            <w:r>
              <w:rPr>
                <w:noProof/>
                <w:webHidden/>
              </w:rPr>
            </w:r>
            <w:r>
              <w:rPr>
                <w:noProof/>
                <w:webHidden/>
              </w:rPr>
              <w:fldChar w:fldCharType="separate"/>
            </w:r>
            <w:r>
              <w:rPr>
                <w:noProof/>
                <w:webHidden/>
              </w:rPr>
              <w:t>5</w:t>
            </w:r>
            <w:r>
              <w:rPr>
                <w:noProof/>
                <w:webHidden/>
              </w:rPr>
              <w:fldChar w:fldCharType="end"/>
            </w:r>
          </w:hyperlink>
        </w:p>
        <w:p w14:paraId="5D2A563D" w14:textId="0CF509C9" w:rsidR="00F02B20" w:rsidRDefault="00F02B20">
          <w:pPr>
            <w:pStyle w:val="TOC3"/>
            <w:tabs>
              <w:tab w:val="right" w:leader="dot" w:pos="9350"/>
            </w:tabs>
            <w:rPr>
              <w:rFonts w:asciiTheme="minorHAnsi" w:eastAsiaTheme="minorEastAsia" w:hAnsiTheme="minorHAnsi" w:cstheme="minorBidi"/>
              <w:i w:val="0"/>
              <w:noProof/>
              <w:kern w:val="2"/>
              <w:sz w:val="24"/>
              <w:szCs w:val="24"/>
              <w14:ligatures w14:val="standardContextual"/>
            </w:rPr>
          </w:pPr>
          <w:hyperlink w:anchor="_Toc225163084" w:history="1">
            <w:r w:rsidRPr="005C2F37">
              <w:rPr>
                <w:rStyle w:val="Hyperlink"/>
                <w:noProof/>
              </w:rPr>
              <w:t>Committee</w:t>
            </w:r>
            <w:r>
              <w:rPr>
                <w:noProof/>
                <w:webHidden/>
              </w:rPr>
              <w:tab/>
            </w:r>
            <w:r>
              <w:rPr>
                <w:noProof/>
                <w:webHidden/>
              </w:rPr>
              <w:fldChar w:fldCharType="begin"/>
            </w:r>
            <w:r>
              <w:rPr>
                <w:noProof/>
                <w:webHidden/>
              </w:rPr>
              <w:instrText xml:space="preserve"> PAGEREF _Toc225163084 \h </w:instrText>
            </w:r>
            <w:r>
              <w:rPr>
                <w:noProof/>
                <w:webHidden/>
              </w:rPr>
            </w:r>
            <w:r>
              <w:rPr>
                <w:noProof/>
                <w:webHidden/>
              </w:rPr>
              <w:fldChar w:fldCharType="separate"/>
            </w:r>
            <w:r>
              <w:rPr>
                <w:noProof/>
                <w:webHidden/>
              </w:rPr>
              <w:t>5</w:t>
            </w:r>
            <w:r>
              <w:rPr>
                <w:noProof/>
                <w:webHidden/>
              </w:rPr>
              <w:fldChar w:fldCharType="end"/>
            </w:r>
          </w:hyperlink>
        </w:p>
        <w:p w14:paraId="3C3B40DF" w14:textId="1DDAEC38" w:rsidR="00F02B20" w:rsidRDefault="00F02B20">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63085" w:history="1">
            <w:r w:rsidRPr="005C2F37">
              <w:rPr>
                <w:rStyle w:val="Hyperlink"/>
                <w:noProof/>
              </w:rPr>
              <w:t>Disclaimer</w:t>
            </w:r>
            <w:r>
              <w:rPr>
                <w:noProof/>
                <w:webHidden/>
              </w:rPr>
              <w:tab/>
            </w:r>
            <w:r>
              <w:rPr>
                <w:noProof/>
                <w:webHidden/>
              </w:rPr>
              <w:fldChar w:fldCharType="begin"/>
            </w:r>
            <w:r>
              <w:rPr>
                <w:noProof/>
                <w:webHidden/>
              </w:rPr>
              <w:instrText xml:space="preserve"> PAGEREF _Toc225163085 \h </w:instrText>
            </w:r>
            <w:r>
              <w:rPr>
                <w:noProof/>
                <w:webHidden/>
              </w:rPr>
            </w:r>
            <w:r>
              <w:rPr>
                <w:noProof/>
                <w:webHidden/>
              </w:rPr>
              <w:fldChar w:fldCharType="separate"/>
            </w:r>
            <w:r>
              <w:rPr>
                <w:noProof/>
                <w:webHidden/>
              </w:rPr>
              <w:t>6</w:t>
            </w:r>
            <w:r>
              <w:rPr>
                <w:noProof/>
                <w:webHidden/>
              </w:rPr>
              <w:fldChar w:fldCharType="end"/>
            </w:r>
          </w:hyperlink>
        </w:p>
        <w:p w14:paraId="48347544" w14:textId="3ADA3461" w:rsidR="00F02B20" w:rsidRDefault="00F02B20">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163086" w:history="1">
            <w:r w:rsidRPr="005C2F37">
              <w:rPr>
                <w:rStyle w:val="Hyperlink"/>
                <w:noProof/>
              </w:rPr>
              <w:t>References</w:t>
            </w:r>
            <w:r>
              <w:rPr>
                <w:noProof/>
                <w:webHidden/>
              </w:rPr>
              <w:tab/>
            </w:r>
            <w:r>
              <w:rPr>
                <w:noProof/>
                <w:webHidden/>
              </w:rPr>
              <w:fldChar w:fldCharType="begin"/>
            </w:r>
            <w:r>
              <w:rPr>
                <w:noProof/>
                <w:webHidden/>
              </w:rPr>
              <w:instrText xml:space="preserve"> PAGEREF _Toc225163086 \h </w:instrText>
            </w:r>
            <w:r>
              <w:rPr>
                <w:noProof/>
                <w:webHidden/>
              </w:rPr>
            </w:r>
            <w:r>
              <w:rPr>
                <w:noProof/>
                <w:webHidden/>
              </w:rPr>
              <w:fldChar w:fldCharType="separate"/>
            </w:r>
            <w:r>
              <w:rPr>
                <w:noProof/>
                <w:webHidden/>
              </w:rPr>
              <w:t>7</w:t>
            </w:r>
            <w:r>
              <w:rPr>
                <w:noProof/>
                <w:webHidden/>
              </w:rPr>
              <w:fldChar w:fldCharType="end"/>
            </w:r>
          </w:hyperlink>
        </w:p>
        <w:p w14:paraId="1A51577D" w14:textId="58DC82CE" w:rsidR="00A03DEC" w:rsidRDefault="00A03DEC" w:rsidP="00E35E4A">
          <w:pPr>
            <w:pStyle w:val="TOC1"/>
            <w:tabs>
              <w:tab w:val="right" w:leader="dot" w:pos="9016"/>
            </w:tabs>
          </w:pPr>
          <w:r>
            <w:rPr>
              <w:bCs/>
              <w:noProof/>
            </w:rPr>
            <w:fldChar w:fldCharType="end"/>
          </w:r>
        </w:p>
      </w:sdtContent>
    </w:sdt>
    <w:p w14:paraId="70DF0538" w14:textId="77777777" w:rsidR="00E35E4A" w:rsidRDefault="00E35E4A">
      <w:pPr>
        <w:spacing w:before="0" w:after="0"/>
        <w:rPr>
          <w:rFonts w:eastAsia="Calibri" w:cs="Calibri"/>
          <w:b/>
          <w:bCs/>
          <w:caps/>
          <w:sz w:val="36"/>
          <w:szCs w:val="28"/>
        </w:rPr>
      </w:pPr>
      <w:bookmarkStart w:id="0" w:name="51258e01-c575-43ff-b4e3-5c1b3a2c32ef"/>
      <w:r>
        <w:br w:type="page"/>
      </w:r>
    </w:p>
    <w:p w14:paraId="50F6E757" w14:textId="653301F5" w:rsidR="00E768E6" w:rsidRDefault="00B21AF9" w:rsidP="0042476C">
      <w:pPr>
        <w:pStyle w:val="Heading1"/>
      </w:pPr>
      <w:bookmarkStart w:id="1" w:name="_Toc225163067"/>
      <w:r>
        <w:lastRenderedPageBreak/>
        <w:t>Statement</w:t>
      </w:r>
      <w:bookmarkEnd w:id="0"/>
      <w:bookmarkEnd w:id="1"/>
    </w:p>
    <w:p w14:paraId="50F6E75A" w14:textId="77777777" w:rsidR="00E768E6" w:rsidRDefault="00B21AF9" w:rsidP="00CA6FC8">
      <w:pPr>
        <w:pStyle w:val="Heading2"/>
        <w:spacing w:before="120"/>
      </w:pPr>
      <w:bookmarkStart w:id="2" w:name="b950953b-64cf-4462-b690-642aea4b88a0"/>
      <w:bookmarkStart w:id="3" w:name="_Toc225163068"/>
      <w:r>
        <w:t>General Information</w:t>
      </w:r>
      <w:bookmarkEnd w:id="2"/>
      <w:bookmarkEnd w:id="3"/>
    </w:p>
    <w:p w14:paraId="08B7F753" w14:textId="57A625BE" w:rsidR="00542876" w:rsidRDefault="00542876" w:rsidP="004E6F21">
      <w:pPr>
        <w:pStyle w:val="paragraph"/>
        <w:numPr>
          <w:ilvl w:val="0"/>
          <w:numId w:val="34"/>
        </w:numPr>
        <w:spacing w:before="120" w:beforeAutospacing="0" w:after="120" w:afterAutospacing="0"/>
        <w:textAlignment w:val="baseline"/>
        <w:rPr>
          <w:rStyle w:val="eop"/>
          <w:rFonts w:ascii="Arial" w:hAnsi="Arial" w:cs="Arial"/>
          <w:sz w:val="22"/>
          <w:szCs w:val="22"/>
        </w:rPr>
      </w:pPr>
      <w:bookmarkStart w:id="4" w:name="f1c331b7-8c82-4b38-9267-dbf3a2971174"/>
      <w:r>
        <w:rPr>
          <w:rStyle w:val="normaltextrun"/>
          <w:rFonts w:ascii="Arial" w:hAnsi="Arial" w:cs="Arial"/>
          <w:i/>
          <w:iCs/>
          <w:sz w:val="22"/>
          <w:szCs w:val="22"/>
        </w:rPr>
        <w:t xml:space="preserve">It is the policy of the Health Plan to maintain a prior authorization process that promotes appropriate utilization of specific drugs with potential for misuse or limited indications. This process involves a review using Food and Drug Administration (FDA) criteria to </w:t>
      </w:r>
      <w:proofErr w:type="gramStart"/>
      <w:r>
        <w:rPr>
          <w:rStyle w:val="normaltextrun"/>
          <w:rFonts w:ascii="Arial" w:hAnsi="Arial" w:cs="Arial"/>
          <w:i/>
          <w:iCs/>
          <w:sz w:val="22"/>
          <w:szCs w:val="22"/>
        </w:rPr>
        <w:t>make a determination</w:t>
      </w:r>
      <w:proofErr w:type="gramEnd"/>
      <w:r>
        <w:rPr>
          <w:rStyle w:val="normaltextrun"/>
          <w:rFonts w:ascii="Arial" w:hAnsi="Arial" w:cs="Arial"/>
          <w:i/>
          <w:iCs/>
          <w:sz w:val="22"/>
          <w:szCs w:val="22"/>
        </w:rPr>
        <w:t xml:space="preserve"> of Medical Necessity and approval by the Medical Policy Committee.</w:t>
      </w:r>
      <w:r>
        <w:rPr>
          <w:rStyle w:val="eop"/>
          <w:rFonts w:ascii="Arial" w:hAnsi="Arial" w:cs="Arial"/>
          <w:sz w:val="22"/>
          <w:szCs w:val="22"/>
        </w:rPr>
        <w:t> </w:t>
      </w:r>
    </w:p>
    <w:p w14:paraId="245274FC" w14:textId="77777777" w:rsidR="00542876" w:rsidRDefault="00542876" w:rsidP="004E6F21">
      <w:pPr>
        <w:pStyle w:val="paragraph"/>
        <w:numPr>
          <w:ilvl w:val="0"/>
          <w:numId w:val="34"/>
        </w:numPr>
        <w:spacing w:before="120" w:beforeAutospacing="0" w:after="120" w:afterAutospacing="0"/>
        <w:textAlignment w:val="baseline"/>
        <w:rPr>
          <w:rFonts w:ascii="Segoe UI" w:hAnsi="Segoe UI" w:cs="Segoe UI"/>
          <w:sz w:val="18"/>
          <w:szCs w:val="18"/>
        </w:rPr>
      </w:pPr>
      <w:r>
        <w:rPr>
          <w:rStyle w:val="normaltextrun"/>
          <w:rFonts w:ascii="Arial" w:hAnsi="Arial" w:cs="Arial"/>
          <w:i/>
          <w:iCs/>
          <w:sz w:val="22"/>
          <w:szCs w:val="22"/>
        </w:rPr>
        <w:t>If the established criteria are not met, the request is referred to a Medical Director for review, if required for the plan and level of request.</w:t>
      </w:r>
      <w:r>
        <w:rPr>
          <w:rStyle w:val="eop"/>
          <w:rFonts w:ascii="Arial" w:hAnsi="Arial" w:cs="Arial"/>
          <w:sz w:val="22"/>
          <w:szCs w:val="22"/>
        </w:rPr>
        <w:t> </w:t>
      </w:r>
    </w:p>
    <w:p w14:paraId="50F6E75D" w14:textId="77777777" w:rsidR="00E768E6" w:rsidRDefault="00B21AF9">
      <w:pPr>
        <w:pStyle w:val="Heading2"/>
      </w:pPr>
      <w:bookmarkStart w:id="5" w:name="_Toc225163069"/>
      <w:r>
        <w:t>Purpose</w:t>
      </w:r>
      <w:bookmarkEnd w:id="4"/>
      <w:bookmarkEnd w:id="5"/>
    </w:p>
    <w:p w14:paraId="01CC9B8E" w14:textId="0D216C7E" w:rsidR="00121D1A" w:rsidRDefault="000F26CB" w:rsidP="00121D1A">
      <w:bookmarkStart w:id="6" w:name="2516b3cf-d6fd-4050-8fd6-c17305a92c00"/>
      <w:r w:rsidRPr="7A2049BD">
        <w:rPr>
          <w:color w:val="000000" w:themeColor="text1"/>
        </w:rPr>
        <w:t>The purpose of this guideline</w:t>
      </w:r>
      <w:r w:rsidR="37E45CE3" w:rsidRPr="7A2049BD">
        <w:rPr>
          <w:color w:val="000000" w:themeColor="text1"/>
        </w:rPr>
        <w:t xml:space="preserve"> is</w:t>
      </w:r>
      <w:r w:rsidRPr="7A2049BD">
        <w:rPr>
          <w:color w:val="000000" w:themeColor="text1"/>
        </w:rPr>
        <w:t xml:space="preserve"> to define the prior authorization process for</w:t>
      </w:r>
      <w:r w:rsidR="00F03691">
        <w:rPr>
          <w:color w:val="000000" w:themeColor="text1"/>
        </w:rPr>
        <w:t xml:space="preserve"> Casgevy (exagamglogene autotemcel).</w:t>
      </w:r>
    </w:p>
    <w:p w14:paraId="50F6E761" w14:textId="77777777" w:rsidR="00E768E6" w:rsidRDefault="00B21AF9">
      <w:pPr>
        <w:pStyle w:val="Heading2"/>
      </w:pPr>
      <w:bookmarkStart w:id="7" w:name="_Toc225163070"/>
      <w:r>
        <w:t>Scope</w:t>
      </w:r>
      <w:bookmarkEnd w:id="6"/>
      <w:bookmarkEnd w:id="7"/>
    </w:p>
    <w:p w14:paraId="0C5475CC" w14:textId="177DD6DD" w:rsidR="00962667" w:rsidRDefault="00962667" w:rsidP="00962667">
      <w:pPr>
        <w:rPr>
          <w:color w:val="000000" w:themeColor="text1"/>
        </w:rPr>
      </w:pPr>
      <w:bookmarkStart w:id="8" w:name="572d1d8c-e048-4c2c-827d-a8db7b225e7c"/>
      <w:r w:rsidRPr="26CB55A9">
        <w:rPr>
          <w:color w:val="000000" w:themeColor="text1"/>
        </w:rPr>
        <w:t xml:space="preserve">This guideline applies to all practitioners who are involved in providing the requested drug. This guideline is specific to the Health Plan’s medical benefit. </w:t>
      </w:r>
    </w:p>
    <w:p w14:paraId="50F6E768" w14:textId="024B918B" w:rsidR="00E768E6" w:rsidRDefault="00B21AF9" w:rsidP="0063414B">
      <w:pPr>
        <w:pStyle w:val="Heading1"/>
      </w:pPr>
      <w:bookmarkStart w:id="9" w:name="9ce5fd17-6328-4692-a9ff-ca93e447be2b"/>
      <w:bookmarkStart w:id="10" w:name="_Toc225163071"/>
      <w:bookmarkEnd w:id="8"/>
      <w:r>
        <w:t>I</w:t>
      </w:r>
      <w:bookmarkEnd w:id="9"/>
      <w:r w:rsidR="008541B7">
        <w:t>NITIAL REVIEW CRITERIA</w:t>
      </w:r>
      <w:bookmarkEnd w:id="10"/>
    </w:p>
    <w:p w14:paraId="5DFD4335" w14:textId="05CD0B7F" w:rsidR="002B581F" w:rsidRPr="002B581F" w:rsidRDefault="002B581F" w:rsidP="002B581F">
      <w:pPr>
        <w:rPr>
          <w:color w:val="FF0000"/>
        </w:rPr>
      </w:pPr>
      <w:r>
        <w:rPr>
          <w:color w:val="000000"/>
        </w:rPr>
        <w:t>The request must meet all of the criteria listed under</w:t>
      </w:r>
      <w:r>
        <w:rPr>
          <w:b/>
          <w:bCs/>
          <w:i/>
          <w:iCs/>
          <w:color w:val="000000"/>
        </w:rPr>
        <w:t xml:space="preserve"> </w:t>
      </w:r>
      <w:r>
        <w:rPr>
          <w:color w:val="000000"/>
        </w:rPr>
        <w:t xml:space="preserve">diagnosis-specific sections below. </w:t>
      </w:r>
    </w:p>
    <w:p w14:paraId="51F8B519" w14:textId="585D9F0A" w:rsidR="00121D1A" w:rsidRDefault="00414617" w:rsidP="00535D45">
      <w:pPr>
        <w:pStyle w:val="Heading2"/>
        <w:spacing w:before="120"/>
      </w:pPr>
      <w:bookmarkStart w:id="11" w:name="_Toc225163072"/>
      <w:bookmarkStart w:id="12" w:name="59e66837-f347-4cba-ad06-9c8898541074"/>
      <w:r>
        <w:t>Sickle Cell Disease</w:t>
      </w:r>
      <w:bookmarkEnd w:id="11"/>
      <w:r w:rsidR="002B581F">
        <w:t xml:space="preserve"> </w:t>
      </w:r>
    </w:p>
    <w:p w14:paraId="67D1627D" w14:textId="5FF26595" w:rsidR="00FD4011" w:rsidRPr="00B10F99" w:rsidRDefault="00FD4011" w:rsidP="00B10F99">
      <w:pPr>
        <w:rPr>
          <w:color w:val="FF0000"/>
        </w:rPr>
      </w:pPr>
      <w:r w:rsidRPr="00B10F99">
        <w:rPr>
          <w:color w:val="FF0000"/>
        </w:rPr>
        <w:t xml:space="preserve">Only the diagnosis of sickle cell disease is </w:t>
      </w:r>
      <w:r w:rsidR="00441648" w:rsidRPr="00B10F99">
        <w:rPr>
          <w:color w:val="FF0000"/>
        </w:rPr>
        <w:t xml:space="preserve">applicable to the Centers for Medicare </w:t>
      </w:r>
      <w:r w:rsidR="0087202E">
        <w:rPr>
          <w:color w:val="FF0000"/>
        </w:rPr>
        <w:t>and</w:t>
      </w:r>
      <w:r w:rsidR="0087202E" w:rsidRPr="00B10F99">
        <w:rPr>
          <w:color w:val="FF0000"/>
        </w:rPr>
        <w:t xml:space="preserve"> </w:t>
      </w:r>
      <w:r w:rsidR="00441648" w:rsidRPr="00B10F99">
        <w:rPr>
          <w:color w:val="FF0000"/>
        </w:rPr>
        <w:t>Medicaid Services (CMS) Center for Medicare and Medicaid Innovation (CMMI) Cell and Gene Therapy Access Model.</w:t>
      </w:r>
    </w:p>
    <w:p w14:paraId="31D1771F" w14:textId="1DDB6524" w:rsidR="00E7170E" w:rsidRDefault="00E7170E" w:rsidP="00B10F99">
      <w:pPr>
        <w:pStyle w:val="ListParagraph"/>
        <w:numPr>
          <w:ilvl w:val="0"/>
          <w:numId w:val="37"/>
        </w:numPr>
      </w:pPr>
      <w:r>
        <w:t xml:space="preserve">Must submit genetic testing results showing a diagnosis of </w:t>
      </w:r>
      <w:r w:rsidR="00FD4011">
        <w:t>sickle cell disease (SCD)</w:t>
      </w:r>
    </w:p>
    <w:p w14:paraId="4BD3AA4A" w14:textId="2216EB24" w:rsidR="00E7170E" w:rsidRDefault="00E7170E" w:rsidP="00E7170E">
      <w:pPr>
        <w:pStyle w:val="ListParagraph"/>
        <w:numPr>
          <w:ilvl w:val="0"/>
          <w:numId w:val="37"/>
        </w:numPr>
      </w:pPr>
      <w:r>
        <w:t xml:space="preserve">Member is </w:t>
      </w:r>
      <w:r w:rsidR="0087202E">
        <w:t xml:space="preserve">age </w:t>
      </w:r>
      <w:r>
        <w:t xml:space="preserve">12 </w:t>
      </w:r>
      <w:r w:rsidR="0087202E">
        <w:t>or older</w:t>
      </w:r>
      <w:r>
        <w:t xml:space="preserve"> </w:t>
      </w:r>
      <w:r w:rsidR="00441648">
        <w:t>at the time</w:t>
      </w:r>
      <w:r w:rsidR="00384982">
        <w:t xml:space="preserve"> of gene therapy administration </w:t>
      </w:r>
      <w:r w:rsidR="00441648">
        <w:t xml:space="preserve"> </w:t>
      </w:r>
    </w:p>
    <w:p w14:paraId="1238C468" w14:textId="7F28C659" w:rsidR="00E7170E" w:rsidRDefault="00E7170E" w:rsidP="00E7170E">
      <w:pPr>
        <w:pStyle w:val="ListParagraph"/>
        <w:numPr>
          <w:ilvl w:val="0"/>
          <w:numId w:val="37"/>
        </w:numPr>
      </w:pPr>
      <w:r>
        <w:t xml:space="preserve">Must be prescribed by, or in consultation with, a </w:t>
      </w:r>
      <w:r w:rsidR="00543C8C">
        <w:t xml:space="preserve">board-certified </w:t>
      </w:r>
      <w:r>
        <w:t xml:space="preserve">hematologist or transplant specialist </w:t>
      </w:r>
      <w:r w:rsidR="00543C8C">
        <w:t>with experience in the treatment of patients with SCD</w:t>
      </w:r>
    </w:p>
    <w:p w14:paraId="101CF433" w14:textId="7A19A8D1" w:rsidR="00E7170E" w:rsidRDefault="00E7170E" w:rsidP="00B10F99">
      <w:pPr>
        <w:pStyle w:val="ListParagraph"/>
        <w:numPr>
          <w:ilvl w:val="0"/>
          <w:numId w:val="37"/>
        </w:numPr>
      </w:pPr>
      <w:r>
        <w:t xml:space="preserve">Must have documentation of at least TWO </w:t>
      </w:r>
      <w:r w:rsidR="0087202E">
        <w:t xml:space="preserve">vaso-occlusive </w:t>
      </w:r>
      <w:r w:rsidR="00A438AD">
        <w:t>crises (</w:t>
      </w:r>
      <w:r>
        <w:t>VOC</w:t>
      </w:r>
      <w:r w:rsidR="00A438AD">
        <w:t>s)</w:t>
      </w:r>
      <w:r>
        <w:t xml:space="preserve"> per year for the last 2</w:t>
      </w:r>
      <w:r w:rsidR="003427A7">
        <w:t>4 months</w:t>
      </w:r>
    </w:p>
    <w:p w14:paraId="41D107D8" w14:textId="43D186C1" w:rsidR="00E7170E" w:rsidRDefault="00E7170E" w:rsidP="00E7170E">
      <w:pPr>
        <w:pStyle w:val="ListParagraph"/>
        <w:numPr>
          <w:ilvl w:val="0"/>
          <w:numId w:val="37"/>
        </w:numPr>
      </w:pPr>
      <w:r>
        <w:t xml:space="preserve">Must have </w:t>
      </w:r>
      <w:r w:rsidR="008804D2">
        <w:t>a trial and failure</w:t>
      </w:r>
      <w:r>
        <w:t xml:space="preserve"> of hydroxyurea or have an intolerance/contraindication to hydroxyurea</w:t>
      </w:r>
    </w:p>
    <w:p w14:paraId="26595D20" w14:textId="540BDE37" w:rsidR="00E7170E" w:rsidRDefault="00E7170E" w:rsidP="00E7170E">
      <w:pPr>
        <w:pStyle w:val="ListParagraph"/>
        <w:numPr>
          <w:ilvl w:val="0"/>
          <w:numId w:val="37"/>
        </w:numPr>
      </w:pPr>
      <w:r>
        <w:t xml:space="preserve">Must have an attestation from the provider of all the following: </w:t>
      </w:r>
    </w:p>
    <w:p w14:paraId="4386AF45" w14:textId="66C127BC" w:rsidR="00E7170E" w:rsidRDefault="00F965EF" w:rsidP="00E7170E">
      <w:pPr>
        <w:pStyle w:val="ListParagraph"/>
        <w:numPr>
          <w:ilvl w:val="1"/>
          <w:numId w:val="37"/>
        </w:numPr>
      </w:pPr>
      <w:r>
        <w:t>Member is clinically stable and eligible to undergo hematopoietic stem cell transplantation (HSCT)</w:t>
      </w:r>
    </w:p>
    <w:p w14:paraId="4287B16C" w14:textId="1ACD7609" w:rsidR="00F965EF" w:rsidRDefault="00F965EF" w:rsidP="00E7170E">
      <w:pPr>
        <w:pStyle w:val="ListParagraph"/>
        <w:numPr>
          <w:ilvl w:val="1"/>
          <w:numId w:val="37"/>
        </w:numPr>
      </w:pPr>
      <w:r>
        <w:t xml:space="preserve">Casgevy will be administered within 48 hours to </w:t>
      </w:r>
      <w:r w:rsidR="003F7E4D">
        <w:t>seven</w:t>
      </w:r>
      <w:r>
        <w:t xml:space="preserve"> days after myeloablative</w:t>
      </w:r>
      <w:r w:rsidR="00BB0C81">
        <w:t xml:space="preserve"> </w:t>
      </w:r>
      <w:r>
        <w:lastRenderedPageBreak/>
        <w:t>conditioning</w:t>
      </w:r>
    </w:p>
    <w:p w14:paraId="1A2AE0DC" w14:textId="24E094E5" w:rsidR="00F965EF" w:rsidRDefault="00F965EF" w:rsidP="00E7170E">
      <w:pPr>
        <w:pStyle w:val="ListParagraph"/>
        <w:numPr>
          <w:ilvl w:val="1"/>
          <w:numId w:val="37"/>
        </w:numPr>
      </w:pPr>
      <w:r>
        <w:t xml:space="preserve">An antipyretic and antihistamine will be administered prior to </w:t>
      </w:r>
      <w:proofErr w:type="spellStart"/>
      <w:r>
        <w:t>Casgevy</w:t>
      </w:r>
      <w:proofErr w:type="spellEnd"/>
      <w:r>
        <w:t xml:space="preserve"> infusion </w:t>
      </w:r>
    </w:p>
    <w:p w14:paraId="3AD2C611" w14:textId="562BDA45" w:rsidR="003662E8" w:rsidRPr="00E7170E" w:rsidRDefault="003662E8" w:rsidP="00E7170E">
      <w:pPr>
        <w:pStyle w:val="ListParagraph"/>
        <w:numPr>
          <w:ilvl w:val="1"/>
          <w:numId w:val="37"/>
        </w:numPr>
      </w:pPr>
      <w:r>
        <w:t>The member will be given a</w:t>
      </w:r>
      <w:r w:rsidR="0035509D">
        <w:t xml:space="preserve"> dose that </w:t>
      </w:r>
      <w:r w:rsidR="00786F56">
        <w:t xml:space="preserve">is at least the </w:t>
      </w:r>
      <w:r>
        <w:t>minimu</w:t>
      </w:r>
      <w:r w:rsidR="0035509D">
        <w:t>m</w:t>
      </w:r>
      <w:r w:rsidR="00786F56">
        <w:t xml:space="preserve"> recommended dose of 3 x 10</w:t>
      </w:r>
      <w:r w:rsidR="00786F56">
        <w:rPr>
          <w:vertAlign w:val="superscript"/>
        </w:rPr>
        <w:t>6</w:t>
      </w:r>
      <w:r w:rsidR="00786F56">
        <w:t xml:space="preserve"> CD34+ cells/kg</w:t>
      </w:r>
    </w:p>
    <w:p w14:paraId="2190A426" w14:textId="77777777" w:rsidR="00414617" w:rsidRDefault="00414617" w:rsidP="008B6DBE">
      <w:pPr>
        <w:pStyle w:val="Heading2"/>
      </w:pPr>
      <w:bookmarkStart w:id="13" w:name="_Toc225163073"/>
      <w:r>
        <w:t>Transfusion-Dependent Beta Thalassemia</w:t>
      </w:r>
      <w:bookmarkEnd w:id="13"/>
    </w:p>
    <w:p w14:paraId="795B4D06" w14:textId="5C84E5E5" w:rsidR="00441648" w:rsidRPr="002F45AA" w:rsidRDefault="00441648" w:rsidP="002F45AA">
      <w:pPr>
        <w:rPr>
          <w:color w:val="FF0000"/>
        </w:rPr>
      </w:pPr>
      <w:r>
        <w:rPr>
          <w:color w:val="FF0000"/>
        </w:rPr>
        <w:t xml:space="preserve">The </w:t>
      </w:r>
      <w:r w:rsidRPr="000A78FB">
        <w:rPr>
          <w:color w:val="FF0000"/>
        </w:rPr>
        <w:t xml:space="preserve">diagnosis of </w:t>
      </w:r>
      <w:r>
        <w:rPr>
          <w:color w:val="FF0000"/>
        </w:rPr>
        <w:t xml:space="preserve">transfusion-dependent beta thalassemia is </w:t>
      </w:r>
      <w:r w:rsidRPr="002F45AA">
        <w:rPr>
          <w:color w:val="FF0000"/>
          <w:u w:val="single"/>
        </w:rPr>
        <w:t>NOT</w:t>
      </w:r>
      <w:r>
        <w:rPr>
          <w:color w:val="FF0000"/>
        </w:rPr>
        <w:t xml:space="preserve"> </w:t>
      </w:r>
      <w:r w:rsidRPr="000A78FB">
        <w:rPr>
          <w:color w:val="FF0000"/>
        </w:rPr>
        <w:t xml:space="preserve">applicable to the Centers for Medicare </w:t>
      </w:r>
      <w:r w:rsidR="00153A72">
        <w:rPr>
          <w:color w:val="FF0000"/>
        </w:rPr>
        <w:t>and</w:t>
      </w:r>
      <w:r w:rsidR="00153A72" w:rsidRPr="000A78FB">
        <w:rPr>
          <w:color w:val="FF0000"/>
        </w:rPr>
        <w:t xml:space="preserve"> </w:t>
      </w:r>
      <w:r w:rsidRPr="000A78FB">
        <w:rPr>
          <w:color w:val="FF0000"/>
        </w:rPr>
        <w:t>Medicaid Services (CMS) Center for Medicare and Medicaid Innovation (CMMI) Cell and Gene Therapy Access Model.</w:t>
      </w:r>
    </w:p>
    <w:p w14:paraId="4593C42E" w14:textId="1D800AC9" w:rsidR="00616A54" w:rsidRDefault="00616A54" w:rsidP="00616A54">
      <w:pPr>
        <w:pStyle w:val="ListParagraph"/>
        <w:numPr>
          <w:ilvl w:val="0"/>
          <w:numId w:val="39"/>
        </w:numPr>
      </w:pPr>
      <w:r>
        <w:t>Must be prescribed by, or in consultation with, a hematologist or transplant specialist</w:t>
      </w:r>
    </w:p>
    <w:p w14:paraId="50D9ECB4" w14:textId="3EF70D07" w:rsidR="00616A54" w:rsidRDefault="00616A54" w:rsidP="00616A54">
      <w:pPr>
        <w:pStyle w:val="ListParagraph"/>
        <w:numPr>
          <w:ilvl w:val="0"/>
          <w:numId w:val="39"/>
        </w:numPr>
      </w:pPr>
      <w:r>
        <w:t xml:space="preserve">Member is </w:t>
      </w:r>
      <w:r w:rsidR="00153A72">
        <w:t xml:space="preserve">age </w:t>
      </w:r>
      <w:r>
        <w:t xml:space="preserve">12 </w:t>
      </w:r>
      <w:r w:rsidR="00153A72">
        <w:t>or older</w:t>
      </w:r>
      <w:r>
        <w:t xml:space="preserve">   </w:t>
      </w:r>
    </w:p>
    <w:p w14:paraId="535AA6FB" w14:textId="2C847785" w:rsidR="00616A54" w:rsidRDefault="00616A54" w:rsidP="00616A54">
      <w:pPr>
        <w:pStyle w:val="ListParagraph"/>
        <w:numPr>
          <w:ilvl w:val="0"/>
          <w:numId w:val="39"/>
        </w:numPr>
      </w:pPr>
      <w:r>
        <w:t>Must have a diagnosis of β-thalassemia confirmed by genetic testing</w:t>
      </w:r>
    </w:p>
    <w:p w14:paraId="57C4D31C" w14:textId="129C6C94" w:rsidR="00616A54" w:rsidRDefault="00616A54" w:rsidP="00616A54">
      <w:pPr>
        <w:pStyle w:val="ListParagraph"/>
        <w:numPr>
          <w:ilvl w:val="0"/>
          <w:numId w:val="39"/>
        </w:numPr>
      </w:pPr>
      <w:r>
        <w:t xml:space="preserve">Must be transfusion dependent as evidenced by ONE of the following occurring within the </w:t>
      </w:r>
      <w:r w:rsidRPr="0064427B">
        <w:rPr>
          <w:u w:val="single"/>
        </w:rPr>
        <w:t xml:space="preserve">last </w:t>
      </w:r>
      <w:r w:rsidR="00153A72" w:rsidRPr="0064427B">
        <w:rPr>
          <w:u w:val="single"/>
        </w:rPr>
        <w:t>two</w:t>
      </w:r>
      <w:r w:rsidRPr="0064427B">
        <w:rPr>
          <w:u w:val="single"/>
        </w:rPr>
        <w:t xml:space="preserve"> years</w:t>
      </w:r>
      <w:r w:rsidRPr="00616A54">
        <w:rPr>
          <w:u w:val="single"/>
        </w:rPr>
        <w:t xml:space="preserve"> preceding this request:</w:t>
      </w:r>
    </w:p>
    <w:p w14:paraId="34E3B08A" w14:textId="58AD81D1" w:rsidR="00616A54" w:rsidRDefault="00616A54" w:rsidP="00616A54">
      <w:pPr>
        <w:pStyle w:val="ListParagraph"/>
        <w:numPr>
          <w:ilvl w:val="1"/>
          <w:numId w:val="39"/>
        </w:numPr>
      </w:pPr>
      <w:r>
        <w:t xml:space="preserve">History of receiving at least 100 mL/kg/year of packed red blood cells (pRBCs) </w:t>
      </w:r>
    </w:p>
    <w:p w14:paraId="1DF87008" w14:textId="4239688B" w:rsidR="00616A54" w:rsidRDefault="00616A54" w:rsidP="00616A54">
      <w:pPr>
        <w:pStyle w:val="ListParagraph"/>
        <w:numPr>
          <w:ilvl w:val="1"/>
          <w:numId w:val="39"/>
        </w:numPr>
      </w:pPr>
      <w:r>
        <w:t>History of receiving 10 units of pRBCs per year</w:t>
      </w:r>
    </w:p>
    <w:p w14:paraId="5EEEAAD6" w14:textId="0F24DB0B" w:rsidR="00616A54" w:rsidRDefault="00616A54" w:rsidP="00616A54">
      <w:pPr>
        <w:pStyle w:val="ListParagraph"/>
        <w:numPr>
          <w:ilvl w:val="0"/>
          <w:numId w:val="39"/>
        </w:numPr>
      </w:pPr>
      <w:r>
        <w:t xml:space="preserve">Must submit laboratory screening/results or imaging documentation of ALL the following, collected within the last </w:t>
      </w:r>
      <w:r w:rsidR="00BB31CA">
        <w:t>three</w:t>
      </w:r>
      <w:r>
        <w:t xml:space="preserve"> months: </w:t>
      </w:r>
    </w:p>
    <w:p w14:paraId="051CBBF9" w14:textId="218B9AC4" w:rsidR="00616A54" w:rsidRDefault="00616A54" w:rsidP="00616A54">
      <w:pPr>
        <w:pStyle w:val="ListParagraph"/>
        <w:numPr>
          <w:ilvl w:val="1"/>
          <w:numId w:val="39"/>
        </w:numPr>
      </w:pPr>
      <w:r>
        <w:t>Estimated glomerular filtration rate (GFR) ≥ 60mL/min/1.73m</w:t>
      </w:r>
      <w:r w:rsidRPr="00616A54">
        <w:rPr>
          <w:vertAlign w:val="superscript"/>
        </w:rPr>
        <w:t>2</w:t>
      </w:r>
    </w:p>
    <w:p w14:paraId="3A63E5F9" w14:textId="239070A5" w:rsidR="00616A54" w:rsidRDefault="00616A54" w:rsidP="00616A54">
      <w:pPr>
        <w:pStyle w:val="ListParagraph"/>
        <w:numPr>
          <w:ilvl w:val="1"/>
          <w:numId w:val="39"/>
        </w:numPr>
      </w:pPr>
      <w:r>
        <w:t>Negative hepatitis B screening</w:t>
      </w:r>
    </w:p>
    <w:p w14:paraId="257A42DF" w14:textId="2BF9EAE5" w:rsidR="00616A54" w:rsidRDefault="00616A54" w:rsidP="00616A54">
      <w:pPr>
        <w:pStyle w:val="ListParagraph"/>
        <w:numPr>
          <w:ilvl w:val="1"/>
          <w:numId w:val="39"/>
        </w:numPr>
      </w:pPr>
      <w:r>
        <w:t>Negative hepatitis C screening</w:t>
      </w:r>
    </w:p>
    <w:p w14:paraId="5E642E71" w14:textId="0167567F" w:rsidR="00616A54" w:rsidRDefault="00616A54" w:rsidP="00616A54">
      <w:pPr>
        <w:pStyle w:val="ListParagraph"/>
        <w:numPr>
          <w:ilvl w:val="1"/>
          <w:numId w:val="39"/>
        </w:numPr>
      </w:pPr>
      <w:r>
        <w:t>Negative HIV-1 &amp; HIV-2 screening</w:t>
      </w:r>
    </w:p>
    <w:p w14:paraId="44567F31" w14:textId="04740BC8" w:rsidR="00616A54" w:rsidRDefault="00616A54" w:rsidP="00616A54">
      <w:pPr>
        <w:pStyle w:val="ListParagraph"/>
        <w:numPr>
          <w:ilvl w:val="1"/>
          <w:numId w:val="39"/>
        </w:numPr>
      </w:pPr>
      <w:r>
        <w:t xml:space="preserve">Complete </w:t>
      </w:r>
      <w:r w:rsidR="00BB31CA">
        <w:t>b</w:t>
      </w:r>
      <w:r>
        <w:t xml:space="preserve">lood </w:t>
      </w:r>
      <w:r w:rsidR="00BB31CA">
        <w:t>c</w:t>
      </w:r>
      <w:r>
        <w:t>ount (CBC) with white blood cell (WBC) count &gt;3×10</w:t>
      </w:r>
      <w:r w:rsidRPr="00616A54">
        <w:rPr>
          <w:vertAlign w:val="superscript"/>
        </w:rPr>
        <w:t>9</w:t>
      </w:r>
      <w:r>
        <w:t>/L and platelet count &gt;100×10</w:t>
      </w:r>
      <w:r w:rsidRPr="00616A54">
        <w:rPr>
          <w:vertAlign w:val="superscript"/>
        </w:rPr>
        <w:t>9</w:t>
      </w:r>
    </w:p>
    <w:p w14:paraId="455A41FC" w14:textId="1E80FB4C" w:rsidR="00616A54" w:rsidRDefault="00616A54" w:rsidP="00616A54">
      <w:pPr>
        <w:pStyle w:val="ListParagraph"/>
        <w:numPr>
          <w:ilvl w:val="2"/>
          <w:numId w:val="39"/>
        </w:numPr>
      </w:pPr>
      <w:r w:rsidRPr="00616A54">
        <w:rPr>
          <w:i/>
          <w:iCs/>
        </w:rPr>
        <w:t>EXCEPTION</w:t>
      </w:r>
      <w:r>
        <w:t xml:space="preserve">: If CBC results are below thresholds, results can be acceptable if attributable to hypersplenism </w:t>
      </w:r>
    </w:p>
    <w:p w14:paraId="32A22974" w14:textId="479467C4" w:rsidR="00616A54" w:rsidRDefault="00616A54" w:rsidP="00616A54">
      <w:pPr>
        <w:pStyle w:val="ListParagraph"/>
        <w:numPr>
          <w:ilvl w:val="1"/>
          <w:numId w:val="39"/>
        </w:numPr>
      </w:pPr>
      <w:r>
        <w:t>Liver function tests and any associated imaging that rules out advanced liver disease (i.e., bridging fibrosis, cirrhosis, active hepatitis)</w:t>
      </w:r>
    </w:p>
    <w:p w14:paraId="121D16DE" w14:textId="4E72F675" w:rsidR="00616A54" w:rsidRDefault="00616A54" w:rsidP="00616A54">
      <w:pPr>
        <w:pStyle w:val="ListParagraph"/>
        <w:numPr>
          <w:ilvl w:val="1"/>
          <w:numId w:val="39"/>
        </w:numPr>
      </w:pPr>
      <w:r>
        <w:t>MRI scan of the liver showing a liver iron content (LIC) of ≤15mg Fe/g dry weight</w:t>
      </w:r>
    </w:p>
    <w:p w14:paraId="01030052" w14:textId="65BF273C" w:rsidR="00616A54" w:rsidRDefault="00616A54" w:rsidP="00616A54">
      <w:pPr>
        <w:pStyle w:val="ListParagraph"/>
        <w:numPr>
          <w:ilvl w:val="2"/>
          <w:numId w:val="39"/>
        </w:numPr>
      </w:pPr>
      <w:r w:rsidRPr="00616A54">
        <w:rPr>
          <w:i/>
          <w:iCs/>
        </w:rPr>
        <w:t>EXCEPTION</w:t>
      </w:r>
      <w:r>
        <w:t xml:space="preserve">: If liver biopsy is submitted showing no evidence of bridging fibrosis or cirrhosis, high LIC can be accepted </w:t>
      </w:r>
    </w:p>
    <w:p w14:paraId="6B2FE9B5" w14:textId="4DB32DC4" w:rsidR="00616A54" w:rsidRDefault="00616A54" w:rsidP="00616A54">
      <w:pPr>
        <w:pStyle w:val="ListParagraph"/>
        <w:numPr>
          <w:ilvl w:val="1"/>
          <w:numId w:val="39"/>
        </w:numPr>
      </w:pPr>
      <w:r>
        <w:t>MRI scan of the heart showing a cardiac T2* &gt;10ms</w:t>
      </w:r>
    </w:p>
    <w:p w14:paraId="2825AD22" w14:textId="18486711" w:rsidR="00616A54" w:rsidRDefault="00616A54" w:rsidP="00616A54">
      <w:pPr>
        <w:pStyle w:val="ListParagraph"/>
        <w:numPr>
          <w:ilvl w:val="1"/>
          <w:numId w:val="39"/>
        </w:numPr>
      </w:pPr>
      <w:r>
        <w:t xml:space="preserve">Left ventricular ejection fraction (LVEF) &gt; 45% </w:t>
      </w:r>
    </w:p>
    <w:p w14:paraId="486FB16A" w14:textId="223551C9" w:rsidR="00616A54" w:rsidRDefault="00616A54" w:rsidP="00616A54">
      <w:pPr>
        <w:pStyle w:val="ListParagraph"/>
        <w:numPr>
          <w:ilvl w:val="1"/>
          <w:numId w:val="39"/>
        </w:numPr>
      </w:pPr>
      <w:r>
        <w:t>Diffus</w:t>
      </w:r>
      <w:r w:rsidR="00C158BC">
        <w:t>ing</w:t>
      </w:r>
      <w:r>
        <w:t xml:space="preserve"> capacity of </w:t>
      </w:r>
      <w:r w:rsidR="00DB747B">
        <w:t xml:space="preserve">the lungs for </w:t>
      </w:r>
      <w:r>
        <w:t>carbon monoxide (DLcO) &gt;50% predicted</w:t>
      </w:r>
    </w:p>
    <w:p w14:paraId="7FF614F5" w14:textId="10A1AFAD" w:rsidR="00616A54" w:rsidRDefault="00616A54" w:rsidP="00616A54">
      <w:pPr>
        <w:pStyle w:val="ListParagraph"/>
        <w:numPr>
          <w:ilvl w:val="0"/>
          <w:numId w:val="39"/>
        </w:numPr>
      </w:pPr>
      <w:r>
        <w:t xml:space="preserve">Must have chart note documentation or an attestation from the provider of all the following: </w:t>
      </w:r>
    </w:p>
    <w:p w14:paraId="1E8EF8F6" w14:textId="71D487F5" w:rsidR="00616A54" w:rsidRDefault="00616A54" w:rsidP="00616A54">
      <w:pPr>
        <w:pStyle w:val="ListParagraph"/>
        <w:numPr>
          <w:ilvl w:val="1"/>
          <w:numId w:val="39"/>
        </w:numPr>
      </w:pPr>
      <w:proofErr w:type="gramStart"/>
      <w:r>
        <w:lastRenderedPageBreak/>
        <w:t>Member</w:t>
      </w:r>
      <w:proofErr w:type="gramEnd"/>
      <w:r>
        <w:t xml:space="preserve"> must not have an HLA</w:t>
      </w:r>
      <w:r w:rsidR="00D0363C">
        <w:t>-</w:t>
      </w:r>
      <w:r>
        <w:t>matched related donor available</w:t>
      </w:r>
    </w:p>
    <w:p w14:paraId="6DF1B5E1" w14:textId="4F191931" w:rsidR="00616A54" w:rsidRDefault="00616A54" w:rsidP="00616A54">
      <w:pPr>
        <w:pStyle w:val="ListParagraph"/>
        <w:numPr>
          <w:ilvl w:val="1"/>
          <w:numId w:val="39"/>
        </w:numPr>
      </w:pPr>
      <w:proofErr w:type="gramStart"/>
      <w:r>
        <w:t>Member has</w:t>
      </w:r>
      <w:proofErr w:type="gramEnd"/>
      <w:r>
        <w:t xml:space="preserve"> not received gene therapy or a hematopoietic stem cell transplant (HSCT) </w:t>
      </w:r>
    </w:p>
    <w:p w14:paraId="6CDB61A3" w14:textId="4B234185" w:rsidR="00616A54" w:rsidRDefault="00D0363C" w:rsidP="00616A54">
      <w:pPr>
        <w:pStyle w:val="ListParagraph"/>
        <w:numPr>
          <w:ilvl w:val="1"/>
          <w:numId w:val="39"/>
        </w:numPr>
      </w:pPr>
      <w:proofErr w:type="gramStart"/>
      <w:r>
        <w:t>M</w:t>
      </w:r>
      <w:r w:rsidR="00616A54">
        <w:t>ember does</w:t>
      </w:r>
      <w:proofErr w:type="gramEnd"/>
      <w:r w:rsidR="00616A54">
        <w:t xml:space="preserve"> not have hemoglobin S/β-thalassemia or α-thalassemia</w:t>
      </w:r>
    </w:p>
    <w:p w14:paraId="373D8F72" w14:textId="0F61710E" w:rsidR="00616A54" w:rsidRDefault="00616A54" w:rsidP="00616A54">
      <w:pPr>
        <w:pStyle w:val="ListParagraph"/>
        <w:numPr>
          <w:ilvl w:val="1"/>
          <w:numId w:val="39"/>
        </w:numPr>
      </w:pPr>
      <w:r>
        <w:t>Member does not have a clinically significant and active bacterial, viral, fungal</w:t>
      </w:r>
      <w:r>
        <w:t>,</w:t>
      </w:r>
      <w:r>
        <w:t xml:space="preserve"> or parasitic infection </w:t>
      </w:r>
    </w:p>
    <w:p w14:paraId="4FB4CB2D" w14:textId="4A517679" w:rsidR="00616A54" w:rsidRDefault="00616A54" w:rsidP="00616A54">
      <w:pPr>
        <w:pStyle w:val="ListParagraph"/>
        <w:numPr>
          <w:ilvl w:val="1"/>
          <w:numId w:val="39"/>
        </w:numPr>
      </w:pPr>
      <w:proofErr w:type="gramStart"/>
      <w:r>
        <w:t>Member does</w:t>
      </w:r>
      <w:proofErr w:type="gramEnd"/>
      <w:r>
        <w:t xml:space="preserve"> not have any prior or current malignancies OR myeloproliferative or significant immunodeficiency disorders </w:t>
      </w:r>
    </w:p>
    <w:p w14:paraId="65E3511E" w14:textId="2EFA0485" w:rsidR="00616A54" w:rsidRDefault="00616A54" w:rsidP="00616A54">
      <w:pPr>
        <w:pStyle w:val="ListParagraph"/>
        <w:numPr>
          <w:ilvl w:val="1"/>
          <w:numId w:val="39"/>
        </w:numPr>
      </w:pPr>
      <w:proofErr w:type="gramStart"/>
      <w:r>
        <w:t>Member</w:t>
      </w:r>
      <w:proofErr w:type="gramEnd"/>
      <w:r>
        <w:t xml:space="preserve"> must not have history of significant bleeding disorder</w:t>
      </w:r>
    </w:p>
    <w:p w14:paraId="5CABC895" w14:textId="5D4A68A5" w:rsidR="00616A54" w:rsidRDefault="00616A54" w:rsidP="00616A54">
      <w:pPr>
        <w:pStyle w:val="ListParagraph"/>
        <w:numPr>
          <w:ilvl w:val="1"/>
          <w:numId w:val="39"/>
        </w:numPr>
      </w:pPr>
      <w:r>
        <w:t xml:space="preserve">If member is female of child-bearing age: </w:t>
      </w:r>
    </w:p>
    <w:p w14:paraId="453AF06B" w14:textId="0A606F9A" w:rsidR="00616A54" w:rsidRDefault="00616A54" w:rsidP="00616A54">
      <w:pPr>
        <w:pStyle w:val="ListParagraph"/>
        <w:numPr>
          <w:ilvl w:val="2"/>
          <w:numId w:val="39"/>
        </w:numPr>
      </w:pPr>
      <w:r>
        <w:t xml:space="preserve">The provider will obtain a negative pregnancy test prior to starting mobilization, prior to conditioning procedures and before </w:t>
      </w:r>
      <w:proofErr w:type="spellStart"/>
      <w:r>
        <w:t>Casgevy</w:t>
      </w:r>
      <w:proofErr w:type="spellEnd"/>
      <w:r>
        <w:t xml:space="preserve"> administration</w:t>
      </w:r>
    </w:p>
    <w:p w14:paraId="01260F1E" w14:textId="629928CD" w:rsidR="00616A54" w:rsidRDefault="00616A54" w:rsidP="00616A54">
      <w:pPr>
        <w:pStyle w:val="ListParagraph"/>
        <w:numPr>
          <w:ilvl w:val="2"/>
          <w:numId w:val="39"/>
        </w:numPr>
      </w:pPr>
      <w:r>
        <w:t>The member has been counseled on effective use of contraception during treatment</w:t>
      </w:r>
    </w:p>
    <w:p w14:paraId="2C1EA800" w14:textId="53D60138" w:rsidR="00616A54" w:rsidRDefault="00616A54" w:rsidP="00616A54">
      <w:pPr>
        <w:pStyle w:val="ListParagraph"/>
        <w:numPr>
          <w:ilvl w:val="2"/>
          <w:numId w:val="39"/>
        </w:numPr>
      </w:pPr>
      <w:r>
        <w:t>The member is not breast-feeding</w:t>
      </w:r>
    </w:p>
    <w:p w14:paraId="10760BE7" w14:textId="03AC8089" w:rsidR="00616A54" w:rsidRPr="00616A54" w:rsidRDefault="00616A54" w:rsidP="00616A54">
      <w:pPr>
        <w:pStyle w:val="ListParagraph"/>
        <w:numPr>
          <w:ilvl w:val="1"/>
          <w:numId w:val="39"/>
        </w:numPr>
      </w:pPr>
      <w:r>
        <w:t>If member is male</w:t>
      </w:r>
      <w:r w:rsidR="009B05C5">
        <w:t xml:space="preserve"> and</w:t>
      </w:r>
      <w:r>
        <w:t xml:space="preserve"> capable of fathering a child, the member has been counseled on effective use of contraception during treatment</w:t>
      </w:r>
    </w:p>
    <w:p w14:paraId="50F6E848" w14:textId="47AA7767" w:rsidR="00E768E6" w:rsidRPr="00121D1A" w:rsidRDefault="002B581F" w:rsidP="00A03DEC">
      <w:pPr>
        <w:pStyle w:val="Heading1"/>
      </w:pPr>
      <w:bookmarkStart w:id="14" w:name="_Toc225163074"/>
      <w:bookmarkEnd w:id="12"/>
      <w:r>
        <w:t>R</w:t>
      </w:r>
      <w:r w:rsidR="00903D20">
        <w:t>e</w:t>
      </w:r>
      <w:r>
        <w:t>authorization Criteria</w:t>
      </w:r>
      <w:bookmarkEnd w:id="14"/>
    </w:p>
    <w:p w14:paraId="04880BF9" w14:textId="0AB38D55" w:rsidR="0088160A" w:rsidRPr="00B04EC0" w:rsidRDefault="00A13DF0" w:rsidP="00DD0682">
      <w:bookmarkStart w:id="15" w:name="bf411eb6-39fd-4766-b04d-3f0de901e5e4"/>
      <w:r>
        <w:rPr>
          <w:color w:val="000000"/>
        </w:rPr>
        <w:t>Casgevy is not eligible for reauthorization</w:t>
      </w:r>
      <w:r w:rsidR="00DD0682">
        <w:rPr>
          <w:color w:val="000000"/>
        </w:rPr>
        <w:t xml:space="preserve"> as only a single course is allowed per member’s lifetime.</w:t>
      </w:r>
    </w:p>
    <w:p w14:paraId="27CDA761" w14:textId="77777777" w:rsidR="00B04EC0" w:rsidRPr="00121D1A" w:rsidRDefault="00B04EC0" w:rsidP="00B04EC0">
      <w:pPr>
        <w:pStyle w:val="Heading1"/>
      </w:pPr>
      <w:bookmarkStart w:id="16" w:name="_Toc189906977"/>
      <w:bookmarkStart w:id="17" w:name="_Toc225163075"/>
      <w:r>
        <w:t>Approval Durations</w:t>
      </w:r>
      <w:bookmarkEnd w:id="16"/>
      <w:bookmarkEnd w:id="17"/>
    </w:p>
    <w:tbl>
      <w:tblPr>
        <w:tblW w:w="936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10"/>
        <w:gridCol w:w="6757"/>
      </w:tblGrid>
      <w:tr w:rsidR="00B04EC0" w:rsidRPr="00962841" w14:paraId="3509941C" w14:textId="77777777" w:rsidTr="00FB22B9">
        <w:trPr>
          <w:trHeight w:val="300"/>
        </w:trPr>
        <w:tc>
          <w:tcPr>
            <w:tcW w:w="2610" w:type="dxa"/>
            <w:tcBorders>
              <w:top w:val="single" w:sz="6" w:space="0" w:color="auto"/>
              <w:left w:val="single" w:sz="6" w:space="0" w:color="auto"/>
              <w:bottom w:val="single" w:sz="6" w:space="0" w:color="auto"/>
              <w:right w:val="single" w:sz="6" w:space="0" w:color="auto"/>
            </w:tcBorders>
            <w:hideMark/>
          </w:tcPr>
          <w:p w14:paraId="179B0D08" w14:textId="77777777" w:rsidR="00B04EC0" w:rsidRPr="00962841" w:rsidRDefault="00B04EC0" w:rsidP="00B453FA">
            <w:pPr>
              <w:pStyle w:val="In-TextTable"/>
              <w:rPr>
                <w:b/>
                <w:bCs/>
              </w:rPr>
            </w:pPr>
            <w:r w:rsidRPr="00962841">
              <w:rPr>
                <w:b/>
                <w:bCs/>
              </w:rPr>
              <w:t>Initial Authorization </w:t>
            </w:r>
          </w:p>
        </w:tc>
        <w:tc>
          <w:tcPr>
            <w:tcW w:w="6757" w:type="dxa"/>
            <w:tcBorders>
              <w:top w:val="single" w:sz="6" w:space="0" w:color="auto"/>
              <w:left w:val="single" w:sz="6" w:space="0" w:color="auto"/>
              <w:bottom w:val="single" w:sz="6" w:space="0" w:color="auto"/>
              <w:right w:val="single" w:sz="6" w:space="0" w:color="auto"/>
            </w:tcBorders>
            <w:hideMark/>
          </w:tcPr>
          <w:p w14:paraId="324FA8C0" w14:textId="4EE2DD4D" w:rsidR="00886909" w:rsidRPr="00962841" w:rsidRDefault="00161E75" w:rsidP="00DD0682">
            <w:pPr>
              <w:pStyle w:val="In-TextTable"/>
            </w:pPr>
            <w:r>
              <w:t>12</w:t>
            </w:r>
            <w:r w:rsidR="00DD0682">
              <w:t xml:space="preserve"> months</w:t>
            </w:r>
          </w:p>
        </w:tc>
      </w:tr>
      <w:tr w:rsidR="00B04EC0" w:rsidRPr="00962841" w14:paraId="463F04D4" w14:textId="77777777" w:rsidTr="00FB22B9">
        <w:trPr>
          <w:trHeight w:val="300"/>
        </w:trPr>
        <w:tc>
          <w:tcPr>
            <w:tcW w:w="2610" w:type="dxa"/>
            <w:tcBorders>
              <w:top w:val="single" w:sz="6" w:space="0" w:color="auto"/>
              <w:left w:val="single" w:sz="6" w:space="0" w:color="auto"/>
              <w:bottom w:val="single" w:sz="6" w:space="0" w:color="auto"/>
              <w:right w:val="single" w:sz="6" w:space="0" w:color="auto"/>
            </w:tcBorders>
            <w:hideMark/>
          </w:tcPr>
          <w:p w14:paraId="4B83BF27" w14:textId="77777777" w:rsidR="00B04EC0" w:rsidRPr="00962841" w:rsidRDefault="00B04EC0" w:rsidP="00B453FA">
            <w:pPr>
              <w:pStyle w:val="In-TextTable"/>
              <w:rPr>
                <w:b/>
                <w:bCs/>
              </w:rPr>
            </w:pPr>
            <w:r w:rsidRPr="00962841">
              <w:rPr>
                <w:b/>
                <w:bCs/>
              </w:rPr>
              <w:t>Reauthorization </w:t>
            </w:r>
          </w:p>
        </w:tc>
        <w:tc>
          <w:tcPr>
            <w:tcW w:w="6757" w:type="dxa"/>
            <w:tcBorders>
              <w:top w:val="single" w:sz="6" w:space="0" w:color="auto"/>
              <w:left w:val="single" w:sz="6" w:space="0" w:color="auto"/>
              <w:bottom w:val="single" w:sz="6" w:space="0" w:color="auto"/>
              <w:right w:val="single" w:sz="6" w:space="0" w:color="auto"/>
            </w:tcBorders>
            <w:hideMark/>
          </w:tcPr>
          <w:p w14:paraId="184911DD" w14:textId="1E657037" w:rsidR="00B04EC0" w:rsidRPr="00962841" w:rsidRDefault="00DD0682" w:rsidP="00DD0682">
            <w:pPr>
              <w:pStyle w:val="In-TextTable"/>
            </w:pPr>
            <w:r>
              <w:t>N/A (only single course allowed per lifetime)</w:t>
            </w:r>
          </w:p>
        </w:tc>
      </w:tr>
    </w:tbl>
    <w:p w14:paraId="50F6E878" w14:textId="2A55145C" w:rsidR="00E768E6" w:rsidRDefault="00B21AF9" w:rsidP="00A03DEC">
      <w:pPr>
        <w:pStyle w:val="Heading1"/>
      </w:pPr>
      <w:bookmarkStart w:id="18" w:name="da639a29-a55e-49c4-8655-0f6eeb953c05"/>
      <w:bookmarkStart w:id="19" w:name="_Toc225163076"/>
      <w:bookmarkEnd w:id="15"/>
      <w:r>
        <w:t>Coding and Standards</w:t>
      </w:r>
      <w:bookmarkEnd w:id="18"/>
      <w:bookmarkEnd w:id="19"/>
    </w:p>
    <w:p w14:paraId="0483D19E" w14:textId="545E34E8" w:rsidR="00090D5F" w:rsidRPr="00090D5F" w:rsidRDefault="0088160A" w:rsidP="0088160A">
      <w:pPr>
        <w:pStyle w:val="Heading2"/>
        <w:spacing w:before="120"/>
      </w:pPr>
      <w:bookmarkStart w:id="20" w:name="df230bdd-98a3-4ba3-ae44-f9f8a8a15815"/>
      <w:bookmarkStart w:id="21" w:name="_Toc225163077"/>
      <w:r>
        <w:t>Codes</w:t>
      </w:r>
      <w:bookmarkEnd w:id="20"/>
      <w:bookmarkEnd w:id="21"/>
      <w:r w:rsidR="00402D8F">
        <w:t xml:space="preserve"> </w:t>
      </w:r>
      <w:bookmarkStart w:id="22" w:name="_Codes_(Table_below"/>
      <w:bookmarkStart w:id="23" w:name="8fb7bbad-f1f4-459f-87b7-b715a62bbcef"/>
      <w:bookmarkEnd w:id="22"/>
    </w:p>
    <w:tbl>
      <w:tblPr>
        <w:tblW w:w="9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85"/>
        <w:gridCol w:w="1773"/>
        <w:gridCol w:w="6394"/>
      </w:tblGrid>
      <w:tr w:rsidR="005D7959" w:rsidRPr="00141835" w14:paraId="237A64C4" w14:textId="77777777" w:rsidTr="00107484">
        <w:trPr>
          <w:trHeight w:val="300"/>
          <w:tblHeader/>
        </w:trPr>
        <w:tc>
          <w:tcPr>
            <w:tcW w:w="1185" w:type="dxa"/>
            <w:tcBorders>
              <w:top w:val="single" w:sz="6" w:space="0" w:color="auto"/>
              <w:left w:val="single" w:sz="6" w:space="0" w:color="auto"/>
              <w:bottom w:val="single" w:sz="6" w:space="0" w:color="auto"/>
              <w:right w:val="single" w:sz="6" w:space="0" w:color="auto"/>
            </w:tcBorders>
          </w:tcPr>
          <w:p w14:paraId="7AFC90BF" w14:textId="18E4DBC1" w:rsidR="005D7959" w:rsidRPr="00141835" w:rsidRDefault="005D7959" w:rsidP="005D7959">
            <w:pPr>
              <w:pStyle w:val="In-TextTable"/>
            </w:pPr>
            <w:r w:rsidRPr="00141835">
              <w:rPr>
                <w:b/>
                <w:bCs/>
              </w:rPr>
              <w:t>Code </w:t>
            </w:r>
          </w:p>
        </w:tc>
        <w:tc>
          <w:tcPr>
            <w:tcW w:w="1773" w:type="dxa"/>
            <w:tcBorders>
              <w:top w:val="single" w:sz="6" w:space="0" w:color="auto"/>
              <w:left w:val="single" w:sz="6" w:space="0" w:color="auto"/>
              <w:bottom w:val="single" w:sz="6" w:space="0" w:color="auto"/>
              <w:right w:val="single" w:sz="6" w:space="0" w:color="auto"/>
            </w:tcBorders>
          </w:tcPr>
          <w:p w14:paraId="4649E240" w14:textId="1ECF2C32" w:rsidR="005D7959" w:rsidRPr="00141835" w:rsidRDefault="005D7959" w:rsidP="005D7959">
            <w:pPr>
              <w:pStyle w:val="In-TextTable"/>
            </w:pPr>
            <w:r w:rsidRPr="00141835">
              <w:rPr>
                <w:b/>
                <w:bCs/>
              </w:rPr>
              <w:t>Brand </w:t>
            </w:r>
          </w:p>
        </w:tc>
        <w:tc>
          <w:tcPr>
            <w:tcW w:w="6394" w:type="dxa"/>
            <w:tcBorders>
              <w:top w:val="single" w:sz="6" w:space="0" w:color="auto"/>
              <w:left w:val="single" w:sz="6" w:space="0" w:color="auto"/>
              <w:bottom w:val="single" w:sz="6" w:space="0" w:color="auto"/>
              <w:right w:val="single" w:sz="6" w:space="0" w:color="auto"/>
            </w:tcBorders>
          </w:tcPr>
          <w:p w14:paraId="1B799CA0" w14:textId="0CDF2CAB" w:rsidR="005D7959" w:rsidRPr="00141835" w:rsidRDefault="005D7959" w:rsidP="005D7959">
            <w:pPr>
              <w:pStyle w:val="In-TextTable"/>
            </w:pPr>
            <w:r w:rsidRPr="00141835">
              <w:rPr>
                <w:b/>
                <w:bCs/>
              </w:rPr>
              <w:t>Description </w:t>
            </w:r>
          </w:p>
        </w:tc>
      </w:tr>
      <w:tr w:rsidR="005D7959" w:rsidRPr="00141835" w14:paraId="1D21C568" w14:textId="77777777" w:rsidTr="00FB22B9">
        <w:trPr>
          <w:trHeight w:val="300"/>
        </w:trPr>
        <w:tc>
          <w:tcPr>
            <w:tcW w:w="1185" w:type="dxa"/>
            <w:tcBorders>
              <w:top w:val="single" w:sz="6" w:space="0" w:color="auto"/>
              <w:left w:val="single" w:sz="6" w:space="0" w:color="auto"/>
              <w:bottom w:val="single" w:sz="6" w:space="0" w:color="auto"/>
              <w:right w:val="single" w:sz="6" w:space="0" w:color="auto"/>
            </w:tcBorders>
          </w:tcPr>
          <w:p w14:paraId="29788759" w14:textId="4719A900" w:rsidR="005D7959" w:rsidRPr="00141835" w:rsidRDefault="0043139B" w:rsidP="005D7959">
            <w:pPr>
              <w:pStyle w:val="In-TextTable"/>
            </w:pPr>
            <w:r>
              <w:t>J3</w:t>
            </w:r>
            <w:r w:rsidR="00A306FF">
              <w:t>392</w:t>
            </w:r>
          </w:p>
        </w:tc>
        <w:tc>
          <w:tcPr>
            <w:tcW w:w="1773" w:type="dxa"/>
            <w:tcBorders>
              <w:top w:val="single" w:sz="6" w:space="0" w:color="auto"/>
              <w:left w:val="single" w:sz="6" w:space="0" w:color="auto"/>
              <w:bottom w:val="single" w:sz="6" w:space="0" w:color="auto"/>
              <w:right w:val="single" w:sz="6" w:space="0" w:color="auto"/>
            </w:tcBorders>
          </w:tcPr>
          <w:p w14:paraId="0FED3A80" w14:textId="76EFEE38" w:rsidR="005D7959" w:rsidRDefault="0043139B" w:rsidP="005D7959">
            <w:pPr>
              <w:pStyle w:val="In-TextTable"/>
            </w:pPr>
            <w:r>
              <w:t>Casgevy</w:t>
            </w:r>
          </w:p>
        </w:tc>
        <w:tc>
          <w:tcPr>
            <w:tcW w:w="6394" w:type="dxa"/>
            <w:tcBorders>
              <w:top w:val="single" w:sz="6" w:space="0" w:color="auto"/>
              <w:left w:val="single" w:sz="6" w:space="0" w:color="auto"/>
              <w:bottom w:val="single" w:sz="6" w:space="0" w:color="auto"/>
              <w:right w:val="single" w:sz="6" w:space="0" w:color="auto"/>
            </w:tcBorders>
          </w:tcPr>
          <w:p w14:paraId="1AE9F9D3" w14:textId="3E752DFB" w:rsidR="005D7959" w:rsidRPr="00141835" w:rsidRDefault="00A306FF" w:rsidP="005D7959">
            <w:pPr>
              <w:pStyle w:val="In-TextTable"/>
            </w:pPr>
            <w:r>
              <w:t>Injection, exagamglogene autotemcel, per treatment</w:t>
            </w:r>
          </w:p>
        </w:tc>
      </w:tr>
    </w:tbl>
    <w:p w14:paraId="33EC45C8" w14:textId="247E0A2F" w:rsidR="0043139B" w:rsidRDefault="0043139B">
      <w:pPr>
        <w:spacing w:before="0" w:after="0"/>
        <w:rPr>
          <w:rFonts w:eastAsia="Calibri" w:cs="Calibri"/>
          <w:b/>
          <w:bCs/>
          <w:sz w:val="32"/>
          <w:szCs w:val="28"/>
        </w:rPr>
      </w:pPr>
    </w:p>
    <w:p w14:paraId="50F6E886" w14:textId="66F72FA9" w:rsidR="00E768E6" w:rsidRDefault="00B21AF9">
      <w:pPr>
        <w:pStyle w:val="Heading2"/>
      </w:pPr>
      <w:bookmarkStart w:id="24" w:name="_Toc225163078"/>
      <w:r>
        <w:lastRenderedPageBreak/>
        <w:t>Applicable Lines of Business</w:t>
      </w:r>
      <w:bookmarkEnd w:id="23"/>
      <w:bookmarkEnd w:id="2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35"/>
        <w:gridCol w:w="7115"/>
      </w:tblGrid>
      <w:tr w:rsidR="00E768E6" w14:paraId="50F6E88A" w14:textId="77777777" w:rsidTr="00A03DEC">
        <w:tc>
          <w:tcPr>
            <w:tcW w:w="1195" w:type="pct"/>
          </w:tcPr>
          <w:sdt>
            <w:sdtPr>
              <w:rPr>
                <w:rFonts w:ascii="Segoe UI Symbol" w:hAnsi="Segoe UI Symbol" w:cs="Segoe UI Symbol"/>
              </w:rPr>
              <w:id w:val="714781245"/>
              <w14:checkbox>
                <w14:checked w14:val="0"/>
                <w14:checkedState w14:val="2612" w14:font="MS Gothic"/>
                <w14:uncheckedState w14:val="2610" w14:font="MS Gothic"/>
              </w14:checkbox>
            </w:sdtPr>
            <w:sdtEndPr/>
            <w:sdtContent>
              <w:p w14:paraId="50F6E888" w14:textId="28F9531A" w:rsidR="00E768E6" w:rsidRDefault="009F0851" w:rsidP="00A03DEC">
                <w:pPr>
                  <w:pStyle w:val="In-TextTable"/>
                  <w:jc w:val="center"/>
                </w:pPr>
                <w:r>
                  <w:rPr>
                    <w:rFonts w:ascii="MS Gothic" w:eastAsia="MS Gothic" w:hAnsi="MS Gothic" w:cs="Segoe UI Symbol" w:hint="eastAsia"/>
                  </w:rPr>
                  <w:t>☐</w:t>
                </w:r>
              </w:p>
            </w:sdtContent>
          </w:sdt>
        </w:tc>
        <w:tc>
          <w:tcPr>
            <w:tcW w:w="3805" w:type="pct"/>
          </w:tcPr>
          <w:p w14:paraId="50F6E889" w14:textId="4AB2AF0F" w:rsidR="00E768E6" w:rsidRDefault="00B21AF9" w:rsidP="00A03DEC">
            <w:pPr>
              <w:pStyle w:val="In-TextTable"/>
            </w:pPr>
            <w:r>
              <w:t>CHIP (Children’s Health Insurance Program)</w:t>
            </w:r>
          </w:p>
        </w:tc>
      </w:tr>
      <w:tr w:rsidR="00E768E6" w14:paraId="50F6E88D" w14:textId="77777777" w:rsidTr="00A03DEC">
        <w:tc>
          <w:tcPr>
            <w:tcW w:w="1195" w:type="pct"/>
          </w:tcPr>
          <w:sdt>
            <w:sdtPr>
              <w:rPr>
                <w:rFonts w:ascii="Segoe UI Symbol" w:hAnsi="Segoe UI Symbol" w:cs="Segoe UI Symbol"/>
              </w:rPr>
              <w:id w:val="-1929563320"/>
              <w14:checkbox>
                <w14:checked w14:val="0"/>
                <w14:checkedState w14:val="2612" w14:font="MS Gothic"/>
                <w14:uncheckedState w14:val="2610" w14:font="MS Gothic"/>
              </w14:checkbox>
            </w:sdtPr>
            <w:sdtEndPr/>
            <w:sdtContent>
              <w:p w14:paraId="50F6E88B" w14:textId="682CB0F8" w:rsidR="00E768E6" w:rsidRDefault="00534131" w:rsidP="00A03DEC">
                <w:pPr>
                  <w:pStyle w:val="In-TextTable"/>
                  <w:jc w:val="center"/>
                </w:pPr>
                <w:r>
                  <w:rPr>
                    <w:rFonts w:ascii="MS Gothic" w:eastAsia="MS Gothic" w:hAnsi="MS Gothic" w:cs="Segoe UI Symbol" w:hint="eastAsia"/>
                  </w:rPr>
                  <w:t>☐</w:t>
                </w:r>
              </w:p>
            </w:sdtContent>
          </w:sdt>
        </w:tc>
        <w:tc>
          <w:tcPr>
            <w:tcW w:w="3805" w:type="pct"/>
          </w:tcPr>
          <w:p w14:paraId="50F6E88C" w14:textId="43F2BB80" w:rsidR="00E768E6" w:rsidRDefault="00B21AF9" w:rsidP="00A03DEC">
            <w:pPr>
              <w:pStyle w:val="In-TextTable"/>
            </w:pPr>
            <w:r>
              <w:t>Commercial</w:t>
            </w:r>
          </w:p>
        </w:tc>
      </w:tr>
      <w:tr w:rsidR="00E768E6" w14:paraId="50F6E890" w14:textId="77777777" w:rsidTr="00A03DEC">
        <w:tc>
          <w:tcPr>
            <w:tcW w:w="1195" w:type="pct"/>
          </w:tcPr>
          <w:sdt>
            <w:sdtPr>
              <w:rPr>
                <w:rFonts w:ascii="Segoe UI Symbol" w:hAnsi="Segoe UI Symbol" w:cs="Segoe UI Symbol"/>
              </w:rPr>
              <w:id w:val="-1529486327"/>
              <w14:checkbox>
                <w14:checked w14:val="0"/>
                <w14:checkedState w14:val="2612" w14:font="MS Gothic"/>
                <w14:uncheckedState w14:val="2610" w14:font="MS Gothic"/>
              </w14:checkbox>
            </w:sdtPr>
            <w:sdtEndPr/>
            <w:sdtContent>
              <w:p w14:paraId="50F6E88E" w14:textId="674E9D8E" w:rsidR="00E768E6" w:rsidRDefault="00534131" w:rsidP="00A03DEC">
                <w:pPr>
                  <w:pStyle w:val="In-TextTable"/>
                  <w:jc w:val="center"/>
                </w:pPr>
                <w:r>
                  <w:rPr>
                    <w:rFonts w:ascii="MS Gothic" w:eastAsia="MS Gothic" w:hAnsi="MS Gothic" w:cs="Segoe UI Symbol" w:hint="eastAsia"/>
                  </w:rPr>
                  <w:t>☐</w:t>
                </w:r>
              </w:p>
            </w:sdtContent>
          </w:sdt>
        </w:tc>
        <w:tc>
          <w:tcPr>
            <w:tcW w:w="3805" w:type="pct"/>
          </w:tcPr>
          <w:p w14:paraId="50F6E88F" w14:textId="520FEA4D" w:rsidR="00E768E6" w:rsidRDefault="00B21AF9" w:rsidP="00A03DEC">
            <w:pPr>
              <w:pStyle w:val="In-TextTable"/>
            </w:pPr>
            <w:r>
              <w:t>Exchange/Marketplace</w:t>
            </w:r>
          </w:p>
        </w:tc>
      </w:tr>
      <w:tr w:rsidR="00E768E6" w14:paraId="50F6E893" w14:textId="77777777" w:rsidTr="00A03DEC">
        <w:tc>
          <w:tcPr>
            <w:tcW w:w="1195" w:type="pct"/>
          </w:tcPr>
          <w:sdt>
            <w:sdtPr>
              <w:rPr>
                <w:rFonts w:ascii="Segoe UI Symbol" w:hAnsi="Segoe UI Symbol" w:cs="Segoe UI Symbol"/>
              </w:rPr>
              <w:id w:val="481586807"/>
              <w14:checkbox>
                <w14:checked w14:val="1"/>
                <w14:checkedState w14:val="2612" w14:font="MS Gothic"/>
                <w14:uncheckedState w14:val="2610" w14:font="MS Gothic"/>
              </w14:checkbox>
            </w:sdtPr>
            <w:sdtEndPr/>
            <w:sdtContent>
              <w:p w14:paraId="50F6E891" w14:textId="53052D6C" w:rsidR="00E768E6" w:rsidRDefault="009F0851" w:rsidP="00A03DEC">
                <w:pPr>
                  <w:pStyle w:val="In-TextTable"/>
                  <w:jc w:val="center"/>
                </w:pPr>
                <w:r>
                  <w:rPr>
                    <w:rFonts w:ascii="MS Gothic" w:eastAsia="MS Gothic" w:hAnsi="MS Gothic" w:cs="Segoe UI Symbol" w:hint="eastAsia"/>
                  </w:rPr>
                  <w:t>☒</w:t>
                </w:r>
              </w:p>
            </w:sdtContent>
          </w:sdt>
        </w:tc>
        <w:tc>
          <w:tcPr>
            <w:tcW w:w="3805" w:type="pct"/>
          </w:tcPr>
          <w:p w14:paraId="50F6E892" w14:textId="479C6CC8" w:rsidR="00E768E6" w:rsidRDefault="00B21AF9" w:rsidP="00A03DEC">
            <w:pPr>
              <w:pStyle w:val="In-TextTable"/>
            </w:pPr>
            <w:r>
              <w:t>Medicaid</w:t>
            </w:r>
          </w:p>
        </w:tc>
      </w:tr>
      <w:tr w:rsidR="00E768E6" w14:paraId="50F6E896" w14:textId="77777777" w:rsidTr="00A03DEC">
        <w:tc>
          <w:tcPr>
            <w:tcW w:w="1195" w:type="pct"/>
          </w:tcPr>
          <w:sdt>
            <w:sdtPr>
              <w:rPr>
                <w:rFonts w:ascii="Segoe UI Symbol" w:hAnsi="Segoe UI Symbol" w:cs="Segoe UI Symbol"/>
              </w:rPr>
              <w:id w:val="-1795590842"/>
              <w14:checkbox>
                <w14:checked w14:val="0"/>
                <w14:checkedState w14:val="2612" w14:font="MS Gothic"/>
                <w14:uncheckedState w14:val="2610" w14:font="MS Gothic"/>
              </w14:checkbox>
            </w:sdtPr>
            <w:sdtEndPr/>
            <w:sdtContent>
              <w:p w14:paraId="50F6E894" w14:textId="74B73E52" w:rsidR="00E768E6" w:rsidRDefault="00534131" w:rsidP="00A03DEC">
                <w:pPr>
                  <w:pStyle w:val="In-TextTable"/>
                  <w:jc w:val="center"/>
                </w:pPr>
                <w:r>
                  <w:rPr>
                    <w:rFonts w:ascii="MS Gothic" w:eastAsia="MS Gothic" w:hAnsi="MS Gothic" w:cs="Segoe UI Symbol" w:hint="eastAsia"/>
                  </w:rPr>
                  <w:t>☐</w:t>
                </w:r>
              </w:p>
            </w:sdtContent>
          </w:sdt>
        </w:tc>
        <w:tc>
          <w:tcPr>
            <w:tcW w:w="3805" w:type="pct"/>
          </w:tcPr>
          <w:p w14:paraId="50F6E895" w14:textId="57060235" w:rsidR="00E768E6" w:rsidRDefault="00B21AF9" w:rsidP="00A03DEC">
            <w:pPr>
              <w:pStyle w:val="In-TextTable"/>
            </w:pPr>
            <w:r>
              <w:t>Medicare Advantage</w:t>
            </w:r>
          </w:p>
        </w:tc>
      </w:tr>
    </w:tbl>
    <w:p w14:paraId="50F6E898" w14:textId="77777777" w:rsidR="00E768E6" w:rsidRDefault="00B21AF9" w:rsidP="00A03DEC">
      <w:pPr>
        <w:pStyle w:val="Heading1"/>
      </w:pPr>
      <w:bookmarkStart w:id="25" w:name="bbdd6af5-83c0-477d-9a0b-290b2e0bb618"/>
      <w:bookmarkStart w:id="26" w:name="_Toc225163079"/>
      <w:r>
        <w:t>Background</w:t>
      </w:r>
      <w:bookmarkEnd w:id="25"/>
      <w:bookmarkEnd w:id="26"/>
    </w:p>
    <w:p w14:paraId="1BD9BFB0" w14:textId="025B6C38" w:rsidR="00CB2E3F" w:rsidRPr="00CB2E3F" w:rsidRDefault="00CB2E3F" w:rsidP="00CB2E3F">
      <w:pPr>
        <w:rPr>
          <w:color w:val="000000"/>
        </w:rPr>
      </w:pPr>
      <w:bookmarkStart w:id="27" w:name="c8f46071-6a85-41b8-910e-ee88343077c4"/>
      <w:r w:rsidRPr="00CB2E3F">
        <w:rPr>
          <w:color w:val="000000"/>
        </w:rPr>
        <w:t xml:space="preserve">Casgevy (exagamglogene autotemcel) </w:t>
      </w:r>
      <w:r>
        <w:rPr>
          <w:color w:val="000000"/>
        </w:rPr>
        <w:t xml:space="preserve">is indicated </w:t>
      </w:r>
      <w:r w:rsidRPr="00CB2E3F">
        <w:rPr>
          <w:color w:val="000000"/>
        </w:rPr>
        <w:t xml:space="preserve">for the following: </w:t>
      </w:r>
    </w:p>
    <w:p w14:paraId="0B9B8088" w14:textId="53D1FF92" w:rsidR="00CB2E3F" w:rsidRPr="00CB2E3F" w:rsidRDefault="00CB2E3F" w:rsidP="00CB2E3F">
      <w:pPr>
        <w:pStyle w:val="ListParagraph"/>
        <w:numPr>
          <w:ilvl w:val="0"/>
          <w:numId w:val="35"/>
        </w:numPr>
        <w:rPr>
          <w:color w:val="000000"/>
        </w:rPr>
      </w:pPr>
      <w:r w:rsidRPr="00CB2E3F">
        <w:rPr>
          <w:color w:val="000000"/>
        </w:rPr>
        <w:t>Sickle cell disease (SCD) with recurrent vaso-occlusive crises (VOCs)</w:t>
      </w:r>
    </w:p>
    <w:p w14:paraId="783A5D4A" w14:textId="11737055" w:rsidR="00121D1A" w:rsidRPr="00CB2E3F" w:rsidRDefault="00CB2E3F" w:rsidP="00CB2E3F">
      <w:pPr>
        <w:pStyle w:val="ListParagraph"/>
        <w:numPr>
          <w:ilvl w:val="0"/>
          <w:numId w:val="35"/>
        </w:numPr>
        <w:rPr>
          <w:color w:val="000000"/>
        </w:rPr>
      </w:pPr>
      <w:r w:rsidRPr="00CB2E3F">
        <w:rPr>
          <w:color w:val="000000"/>
        </w:rPr>
        <w:t>Transfusion-dependent β-thalassemia (TDT)</w:t>
      </w:r>
    </w:p>
    <w:p w14:paraId="653DF4E8" w14:textId="2C24D9A1" w:rsidR="004C3BCE" w:rsidRDefault="004C3BCE" w:rsidP="001A3A08">
      <w:pPr>
        <w:pStyle w:val="Heading2"/>
      </w:pPr>
      <w:bookmarkStart w:id="28" w:name="_Toc189738351"/>
      <w:bookmarkStart w:id="29" w:name="_Toc225163080"/>
      <w:r>
        <w:t>Definitions</w:t>
      </w:r>
      <w:bookmarkEnd w:id="28"/>
      <w:bookmarkEnd w:id="29"/>
    </w:p>
    <w:p w14:paraId="2FB55ECA" w14:textId="70EDAD90" w:rsidR="008E620A" w:rsidRPr="008E620A" w:rsidRDefault="00F03691" w:rsidP="008E620A">
      <w:r w:rsidRPr="00F03691">
        <w:rPr>
          <w:b/>
          <w:bCs/>
        </w:rPr>
        <w:t xml:space="preserve">VOC </w:t>
      </w:r>
      <w:r w:rsidRPr="00F03691">
        <w:t>= vaso-occlusive crises</w:t>
      </w:r>
    </w:p>
    <w:p w14:paraId="50F6E8A9" w14:textId="365336F4" w:rsidR="00E768E6" w:rsidRDefault="00B21AF9" w:rsidP="00E35E4A">
      <w:pPr>
        <w:pStyle w:val="Heading1"/>
      </w:pPr>
      <w:bookmarkStart w:id="30" w:name="_Toc225163081"/>
      <w:r>
        <w:t>Policy History</w:t>
      </w:r>
      <w:bookmarkEnd w:id="27"/>
      <w:bookmarkEnd w:id="3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28"/>
        <w:gridCol w:w="7022"/>
      </w:tblGrid>
      <w:tr w:rsidR="00E768E6" w14:paraId="50F6E8AD" w14:textId="77777777" w:rsidTr="00E35E4A">
        <w:tc>
          <w:tcPr>
            <w:tcW w:w="1245" w:type="pct"/>
          </w:tcPr>
          <w:p w14:paraId="50F6E8AB" w14:textId="77777777" w:rsidR="00E768E6" w:rsidRPr="00E35E4A" w:rsidRDefault="00B21AF9" w:rsidP="00E35E4A">
            <w:pPr>
              <w:pStyle w:val="TitleTable"/>
            </w:pPr>
            <w:r w:rsidRPr="00E35E4A">
              <w:t>Date</w:t>
            </w:r>
          </w:p>
        </w:tc>
        <w:tc>
          <w:tcPr>
            <w:tcW w:w="3755" w:type="pct"/>
          </w:tcPr>
          <w:p w14:paraId="50F6E8AC" w14:textId="77777777" w:rsidR="00E768E6" w:rsidRPr="00E35E4A" w:rsidRDefault="00B21AF9" w:rsidP="00E35E4A">
            <w:pPr>
              <w:pStyle w:val="TitleTable"/>
            </w:pPr>
            <w:r w:rsidRPr="00E35E4A">
              <w:t>Summary</w:t>
            </w:r>
          </w:p>
        </w:tc>
      </w:tr>
      <w:tr w:rsidR="00161E75" w14:paraId="6840AA00" w14:textId="77777777" w:rsidTr="00E35E4A">
        <w:tc>
          <w:tcPr>
            <w:tcW w:w="1245" w:type="pct"/>
          </w:tcPr>
          <w:p w14:paraId="06163432" w14:textId="79F1B689" w:rsidR="00161E75" w:rsidRPr="00C745F3" w:rsidRDefault="001201F3" w:rsidP="00E35E4A">
            <w:pPr>
              <w:pStyle w:val="TitleTable"/>
              <w:rPr>
                <w:b w:val="0"/>
                <w:bCs/>
              </w:rPr>
            </w:pPr>
            <w:r w:rsidRPr="00C745F3">
              <w:rPr>
                <w:b w:val="0"/>
                <w:bCs/>
              </w:rPr>
              <w:t>March 2026</w:t>
            </w:r>
          </w:p>
        </w:tc>
        <w:tc>
          <w:tcPr>
            <w:tcW w:w="3755" w:type="pct"/>
          </w:tcPr>
          <w:p w14:paraId="1CDD1378" w14:textId="4ECC2DE4" w:rsidR="00161E75" w:rsidRPr="00E35E4A" w:rsidRDefault="00161E75" w:rsidP="002F45AA">
            <w:pPr>
              <w:pStyle w:val="TitleTable"/>
              <w:numPr>
                <w:ilvl w:val="0"/>
                <w:numId w:val="41"/>
              </w:numPr>
            </w:pPr>
            <w:r>
              <w:rPr>
                <w:b w:val="0"/>
                <w:bCs/>
              </w:rPr>
              <w:t xml:space="preserve">Aligned </w:t>
            </w:r>
            <w:r w:rsidR="00517ECF">
              <w:rPr>
                <w:b w:val="0"/>
                <w:bCs/>
              </w:rPr>
              <w:t>SCD criteria with Illinois Department of Healthcare and Family Services (HFS) uniform state criteria</w:t>
            </w:r>
          </w:p>
        </w:tc>
      </w:tr>
      <w:tr w:rsidR="00E768E6" w14:paraId="50F6E8B0" w14:textId="77777777" w:rsidTr="00E35E4A">
        <w:tc>
          <w:tcPr>
            <w:tcW w:w="1245" w:type="pct"/>
          </w:tcPr>
          <w:p w14:paraId="50F6E8AE" w14:textId="2C848694" w:rsidR="00E768E6" w:rsidRDefault="00333D6B" w:rsidP="00E35E4A">
            <w:pPr>
              <w:pStyle w:val="In-TextTable"/>
            </w:pPr>
            <w:r>
              <w:t>October 2025</w:t>
            </w:r>
          </w:p>
        </w:tc>
        <w:tc>
          <w:tcPr>
            <w:tcW w:w="3755" w:type="pct"/>
          </w:tcPr>
          <w:p w14:paraId="50F6E8AF" w14:textId="6E5A5CB0" w:rsidR="00E35E4A" w:rsidRDefault="0028139F" w:rsidP="00E177C5">
            <w:pPr>
              <w:pStyle w:val="ListParagraph"/>
              <w:numPr>
                <w:ilvl w:val="0"/>
                <w:numId w:val="28"/>
              </w:numPr>
            </w:pPr>
            <w:r>
              <w:t>Updated HCPCS code</w:t>
            </w:r>
          </w:p>
        </w:tc>
      </w:tr>
      <w:tr w:rsidR="00E768E6" w14:paraId="50F6E8B4" w14:textId="77777777" w:rsidTr="00E35E4A">
        <w:tc>
          <w:tcPr>
            <w:tcW w:w="1245" w:type="pct"/>
          </w:tcPr>
          <w:p w14:paraId="50F6E8B1" w14:textId="365B6330" w:rsidR="00E768E6" w:rsidRDefault="0028139F" w:rsidP="00E35E4A">
            <w:pPr>
              <w:pStyle w:val="In-TextTable"/>
            </w:pPr>
            <w:r>
              <w:t>August 2024</w:t>
            </w:r>
          </w:p>
        </w:tc>
        <w:tc>
          <w:tcPr>
            <w:tcW w:w="3755" w:type="pct"/>
          </w:tcPr>
          <w:p w14:paraId="50F6E8B3" w14:textId="0D36271B" w:rsidR="00E768E6" w:rsidRDefault="0028139F" w:rsidP="00E177C5">
            <w:pPr>
              <w:pStyle w:val="ListParagraph"/>
              <w:numPr>
                <w:ilvl w:val="0"/>
                <w:numId w:val="28"/>
              </w:numPr>
            </w:pPr>
            <w:r>
              <w:rPr>
                <w:color w:val="000000"/>
              </w:rPr>
              <w:t xml:space="preserve">New </w:t>
            </w:r>
            <w:r w:rsidR="009B05C5">
              <w:rPr>
                <w:color w:val="000000"/>
              </w:rPr>
              <w:t>g</w:t>
            </w:r>
            <w:r>
              <w:rPr>
                <w:color w:val="000000"/>
              </w:rPr>
              <w:t>uideline</w:t>
            </w:r>
          </w:p>
        </w:tc>
      </w:tr>
    </w:tbl>
    <w:p w14:paraId="50F6E8BE" w14:textId="77777777" w:rsidR="00E768E6" w:rsidRDefault="00B21AF9" w:rsidP="00A03DEC">
      <w:pPr>
        <w:pStyle w:val="Heading1"/>
      </w:pPr>
      <w:bookmarkStart w:id="31" w:name="4b512564-b43b-4807-b45a-5748be5b1408"/>
      <w:bookmarkStart w:id="32" w:name="_Toc225163082"/>
      <w:r>
        <w:t>Legal and Compliance</w:t>
      </w:r>
      <w:bookmarkEnd w:id="31"/>
      <w:bookmarkEnd w:id="32"/>
    </w:p>
    <w:p w14:paraId="50F6E8BF" w14:textId="77777777" w:rsidR="00E768E6" w:rsidRDefault="00B21AF9" w:rsidP="00A03DEC">
      <w:pPr>
        <w:pStyle w:val="Heading2"/>
        <w:spacing w:before="120"/>
      </w:pPr>
      <w:bookmarkStart w:id="33" w:name="04291978-1a0a-4575-ba22-05363952021b"/>
      <w:bookmarkStart w:id="34" w:name="_Toc225163083"/>
      <w:r>
        <w:t>Guideline Approval</w:t>
      </w:r>
      <w:bookmarkEnd w:id="33"/>
      <w:bookmarkEnd w:id="34"/>
    </w:p>
    <w:p w14:paraId="50F6E8C0" w14:textId="77777777" w:rsidR="00E768E6" w:rsidRDefault="00B21AF9" w:rsidP="00A03DEC">
      <w:pPr>
        <w:pStyle w:val="Heading3"/>
        <w:spacing w:before="120"/>
      </w:pPr>
      <w:bookmarkStart w:id="35" w:name="b97fcac7-a717-42a2-b4fe-62c00859e1e4"/>
      <w:bookmarkStart w:id="36" w:name="_Toc225163084"/>
      <w:r>
        <w:t>Committee</w:t>
      </w:r>
      <w:bookmarkEnd w:id="35"/>
      <w:bookmarkEnd w:id="36"/>
    </w:p>
    <w:p w14:paraId="50F6E8C2" w14:textId="7C61B21B" w:rsidR="00E768E6" w:rsidRDefault="00B21AF9">
      <w:r>
        <w:rPr>
          <w:b/>
          <w:bCs/>
        </w:rPr>
        <w:t xml:space="preserve">Reviewed / Approved by </w:t>
      </w:r>
      <w:r w:rsidR="00A95B64" w:rsidRPr="00A95B64">
        <w:rPr>
          <w:b/>
          <w:bCs/>
        </w:rPr>
        <w:t>Evolent Administrative Services Medical Policy Committee</w:t>
      </w:r>
    </w:p>
    <w:p w14:paraId="50F6E8C3" w14:textId="77777777" w:rsidR="00E768E6" w:rsidRDefault="00B21AF9" w:rsidP="00333D6B">
      <w:pPr>
        <w:pStyle w:val="Heading2"/>
        <w:keepNext/>
        <w:widowControl/>
      </w:pPr>
      <w:bookmarkStart w:id="37" w:name="2aca8366-a793-4f5d-9375-d9ccb446b05d"/>
      <w:bookmarkStart w:id="38" w:name="_Toc225163085"/>
      <w:r>
        <w:lastRenderedPageBreak/>
        <w:t>Disclaimer</w:t>
      </w:r>
      <w:bookmarkEnd w:id="37"/>
      <w:bookmarkEnd w:id="38"/>
    </w:p>
    <w:p w14:paraId="41090E98" w14:textId="77777777" w:rsidR="0064427B" w:rsidRPr="0064427B" w:rsidRDefault="0064427B" w:rsidP="0064427B">
      <w:pPr>
        <w:spacing w:before="0" w:after="0"/>
        <w:rPr>
          <w:i/>
          <w:iCs/>
          <w:color w:val="000000"/>
        </w:rPr>
      </w:pPr>
      <w:r w:rsidRPr="0064427B">
        <w:rPr>
          <w:i/>
          <w:iCs/>
          <w:color w:val="000000"/>
        </w:rPr>
        <w:t xml:space="preserve">Evolent Clinical Guidelines do not constitute medical advice. Treating health care professionals are solely responsible for diagnosis, treatment, and medical advice. Evolent uses Clinical Guidelines in accordance with its contractual obligations to provide utilization management. Coverage for services varies for individual members according to the terms of their health care coverage or government program. Individual members’ health care coverage may not utilize some Evolent Clinical Guidelines. Evolent clinical guidelines contain guidance that requires prior authorization and service limitations. A list of procedure codes, services or drugs may not be all inclusive and does not imply that a service or drug is a covered or non-covered service or drug. Evolent reserves the right to review and update this Clinical Guideline in its sole discretion. Notice of any changes shall be provided as required by applicable provider agreements and laws or regulations. Members should contact their Plan customer service representative for specific coverage information. </w:t>
      </w:r>
    </w:p>
    <w:p w14:paraId="1E7929C0" w14:textId="1D67F05C" w:rsidR="0064427B" w:rsidRPr="0064427B" w:rsidRDefault="0064427B" w:rsidP="0064427B">
      <w:pPr>
        <w:spacing w:before="0" w:after="0"/>
        <w:rPr>
          <w:i/>
          <w:iCs/>
          <w:color w:val="000000"/>
        </w:rPr>
      </w:pPr>
      <w:r w:rsidRPr="0064427B">
        <w:rPr>
          <w:i/>
          <w:iCs/>
          <w:color w:val="000000"/>
        </w:rPr>
        <w:t xml:space="preserve"> </w:t>
      </w:r>
    </w:p>
    <w:p w14:paraId="0A065394" w14:textId="29437EE5" w:rsidR="0094142F" w:rsidRDefault="0064427B" w:rsidP="0064427B">
      <w:pPr>
        <w:spacing w:before="0" w:after="0"/>
        <w:rPr>
          <w:rFonts w:eastAsia="Calibri" w:cs="Calibri"/>
          <w:b/>
          <w:bCs/>
          <w:caps/>
          <w:sz w:val="36"/>
          <w:szCs w:val="28"/>
        </w:rPr>
      </w:pPr>
      <w:r w:rsidRPr="0064427B">
        <w:rPr>
          <w:i/>
          <w:iCs/>
          <w:color w:val="000000"/>
        </w:rPr>
        <w:t xml:space="preserve">Evolent Clinical Guidelines are comprehensive and inclusive of various procedural applications for each service type. Our guidelines may be used to supplement Medicare criteria when such criteria </w:t>
      </w:r>
      <w:proofErr w:type="gramStart"/>
      <w:r w:rsidRPr="0064427B">
        <w:rPr>
          <w:i/>
          <w:iCs/>
          <w:color w:val="000000"/>
        </w:rPr>
        <w:t>is</w:t>
      </w:r>
      <w:proofErr w:type="gramEnd"/>
      <w:r w:rsidRPr="0064427B">
        <w:rPr>
          <w:i/>
          <w:iCs/>
          <w:color w:val="000000"/>
        </w:rPr>
        <w:t xml:space="preserve"> not fully established. When Medicare criteria </w:t>
      </w:r>
      <w:proofErr w:type="gramStart"/>
      <w:r w:rsidRPr="0064427B">
        <w:rPr>
          <w:i/>
          <w:iCs/>
          <w:color w:val="000000"/>
        </w:rPr>
        <w:t>is</w:t>
      </w:r>
      <w:proofErr w:type="gramEnd"/>
      <w:r w:rsidRPr="0064427B">
        <w:rPr>
          <w:i/>
          <w:iCs/>
          <w:color w:val="000000"/>
        </w:rPr>
        <w:t xml:space="preserve"> determined to not be fully established, we only reference the relevant portion of the corresponding Evolent Clinical Guideline that is applicable to the specific service or item requested </w:t>
      </w:r>
      <w:proofErr w:type="gramStart"/>
      <w:r w:rsidRPr="0064427B">
        <w:rPr>
          <w:i/>
          <w:iCs/>
          <w:color w:val="000000"/>
        </w:rPr>
        <w:t>in order to</w:t>
      </w:r>
      <w:proofErr w:type="gramEnd"/>
      <w:r w:rsidRPr="0064427B">
        <w:rPr>
          <w:i/>
          <w:iCs/>
          <w:color w:val="000000"/>
        </w:rPr>
        <w:t xml:space="preserve"> determine medical necessity.</w:t>
      </w:r>
      <w:r w:rsidR="0094142F">
        <w:br w:type="page"/>
      </w:r>
    </w:p>
    <w:p w14:paraId="50F6E8C6" w14:textId="4B391ECD" w:rsidR="00E768E6" w:rsidRDefault="00B21AF9" w:rsidP="00A03DEC">
      <w:pPr>
        <w:pStyle w:val="Heading1"/>
      </w:pPr>
      <w:bookmarkStart w:id="39" w:name="_Toc225163086"/>
      <w:r>
        <w:lastRenderedPageBreak/>
        <w:t>References</w:t>
      </w:r>
      <w:bookmarkEnd w:id="39"/>
    </w:p>
    <w:p w14:paraId="61FD18A4" w14:textId="648D28BF" w:rsidR="00757FF3" w:rsidRPr="00757FF3" w:rsidRDefault="00757FF3" w:rsidP="00C745F3">
      <w:pPr>
        <w:pStyle w:val="Bibliography"/>
        <w:numPr>
          <w:ilvl w:val="0"/>
          <w:numId w:val="32"/>
        </w:numPr>
        <w:spacing w:after="0"/>
        <w:ind w:left="360"/>
        <w:rPr>
          <w:sz w:val="22"/>
        </w:rPr>
      </w:pPr>
      <w:proofErr w:type="spellStart"/>
      <w:r w:rsidRPr="00757FF3">
        <w:rPr>
          <w:sz w:val="22"/>
        </w:rPr>
        <w:t>Casgevy</w:t>
      </w:r>
      <w:proofErr w:type="spellEnd"/>
      <w:r w:rsidRPr="00757FF3">
        <w:rPr>
          <w:sz w:val="22"/>
        </w:rPr>
        <w:t xml:space="preserve"> (</w:t>
      </w:r>
      <w:proofErr w:type="spellStart"/>
      <w:r w:rsidRPr="00757FF3">
        <w:rPr>
          <w:sz w:val="22"/>
        </w:rPr>
        <w:t>exagamglogene</w:t>
      </w:r>
      <w:proofErr w:type="spellEnd"/>
      <w:r w:rsidRPr="00757FF3">
        <w:rPr>
          <w:sz w:val="22"/>
        </w:rPr>
        <w:t xml:space="preserve"> autotemcel) [prescribing information]. Boston, MA: Vertex Pharmaceuticals Incorporated; </w:t>
      </w:r>
      <w:r w:rsidR="0060068D">
        <w:rPr>
          <w:sz w:val="22"/>
        </w:rPr>
        <w:t>August 2025.</w:t>
      </w:r>
    </w:p>
    <w:p w14:paraId="45A73EE5" w14:textId="292A525D" w:rsidR="00757FF3" w:rsidRPr="00757FF3" w:rsidRDefault="00757FF3" w:rsidP="00C745F3">
      <w:pPr>
        <w:pStyle w:val="Bibliography"/>
        <w:numPr>
          <w:ilvl w:val="0"/>
          <w:numId w:val="32"/>
        </w:numPr>
        <w:spacing w:after="0"/>
        <w:ind w:left="360"/>
        <w:rPr>
          <w:sz w:val="22"/>
        </w:rPr>
      </w:pPr>
      <w:r w:rsidRPr="00757FF3">
        <w:rPr>
          <w:sz w:val="22"/>
        </w:rPr>
        <w:t>Frangoul et al, “Exagamglogene Autotemcel for Severe Sickle Cell Disease.” N Engl J Med. Online April 24, 2024. DOI: 10.1056/NEJMoa2309676.</w:t>
      </w:r>
    </w:p>
    <w:p w14:paraId="52AF9389" w14:textId="2A717D21" w:rsidR="00757FF3" w:rsidRDefault="00757FF3" w:rsidP="00C745F3">
      <w:pPr>
        <w:pStyle w:val="Bibliography"/>
        <w:numPr>
          <w:ilvl w:val="0"/>
          <w:numId w:val="32"/>
        </w:numPr>
        <w:spacing w:after="0"/>
        <w:ind w:left="360"/>
        <w:rPr>
          <w:sz w:val="22"/>
        </w:rPr>
      </w:pPr>
      <w:r w:rsidRPr="00757FF3">
        <w:rPr>
          <w:sz w:val="22"/>
        </w:rPr>
        <w:t>Locatelli et al, “Exagamglogene Autotemcel for Transfusion-Dependent β-Thalassemia.” N Engl J Med. Online April 24, 2024. DOI: 10.1056/NEJMoa2309673.</w:t>
      </w:r>
    </w:p>
    <w:p w14:paraId="72D12372" w14:textId="1CD7F8DB" w:rsidR="00A55E7D" w:rsidRPr="002F45AA" w:rsidRDefault="00A55E7D" w:rsidP="00C745F3">
      <w:pPr>
        <w:pStyle w:val="Bibliography"/>
        <w:numPr>
          <w:ilvl w:val="0"/>
          <w:numId w:val="32"/>
        </w:numPr>
        <w:spacing w:after="0"/>
        <w:ind w:left="360"/>
        <w:rPr>
          <w:sz w:val="22"/>
        </w:rPr>
      </w:pPr>
      <w:r w:rsidRPr="002F45AA">
        <w:rPr>
          <w:sz w:val="22"/>
        </w:rPr>
        <w:t xml:space="preserve">A safety and efficacy study evaluating CTX001 in subjects with severe sickle cell disease. ClinicalTrials.gov identifier: NCT03745287. Updated August 11, 2025. </w:t>
      </w:r>
    </w:p>
    <w:sectPr w:rsidR="00A55E7D" w:rsidRPr="002F45AA" w:rsidSect="00B453FA">
      <w:headerReference w:type="default" r:id="rId11"/>
      <w:footerReference w:type="default" r:id="rId12"/>
      <w:type w:val="continuous"/>
      <w:pgSz w:w="12240" w:h="15840" w:code="1"/>
      <w:pgMar w:top="1440" w:right="1440" w:bottom="1440" w:left="1440" w:header="144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2A681" w14:textId="77777777" w:rsidR="00220B5A" w:rsidRDefault="00220B5A">
      <w:pPr>
        <w:spacing w:before="0" w:after="0"/>
      </w:pPr>
      <w:r>
        <w:separator/>
      </w:r>
    </w:p>
  </w:endnote>
  <w:endnote w:type="continuationSeparator" w:id="0">
    <w:p w14:paraId="653999D9" w14:textId="77777777" w:rsidR="00220B5A" w:rsidRDefault="00220B5A">
      <w:pPr>
        <w:spacing w:before="0" w:after="0"/>
      </w:pPr>
      <w:r>
        <w:continuationSeparator/>
      </w:r>
    </w:p>
  </w:endnote>
  <w:endnote w:type="continuationNotice" w:id="1">
    <w:p w14:paraId="62DA0492" w14:textId="77777777" w:rsidR="00220B5A" w:rsidRDefault="00220B5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6E8F3" w14:textId="2F33857A" w:rsidR="00E768E6" w:rsidRDefault="00B21AF9">
    <w:pPr>
      <w:pStyle w:val="Footer"/>
      <w:tabs>
        <w:tab w:val="left" w:pos="9026"/>
      </w:tabs>
    </w:pPr>
    <w:r>
      <w:t xml:space="preserve">Page </w:t>
    </w:r>
    <w:r>
      <w:fldChar w:fldCharType="begin"/>
    </w:r>
    <w:r>
      <w:instrText>PAGE</w:instrText>
    </w:r>
    <w:r>
      <w:fldChar w:fldCharType="separate"/>
    </w:r>
    <w:r w:rsidR="00254BB7">
      <w:rPr>
        <w:noProof/>
      </w:rPr>
      <w:t>1</w:t>
    </w:r>
    <w:r>
      <w:fldChar w:fldCharType="end"/>
    </w:r>
    <w:r>
      <w:t xml:space="preserve"> of </w:t>
    </w:r>
    <w:r>
      <w:fldChar w:fldCharType="begin"/>
    </w:r>
    <w:r>
      <w:instrText>NUMPAGES</w:instrText>
    </w:r>
    <w:r>
      <w:fldChar w:fldCharType="separate"/>
    </w:r>
    <w:r w:rsidR="00254BB7">
      <w:rPr>
        <w:noProof/>
      </w:rPr>
      <w:t>2</w:t>
    </w:r>
    <w:r>
      <w:fldChar w:fldCharType="end"/>
    </w:r>
  </w:p>
  <w:p w14:paraId="50F6E8F4" w14:textId="0A5A5EE2" w:rsidR="00E768E6" w:rsidRDefault="5D66B660">
    <w:pPr>
      <w:pStyle w:val="Footer"/>
    </w:pPr>
    <w:r>
      <w:t xml:space="preserve">EVH Clinical Guideline </w:t>
    </w:r>
    <w:r w:rsidR="00C36914">
      <w:t>5093.CC for Casgevy (exagamglogene autotemcel)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08E5E" w14:textId="77777777" w:rsidR="00220B5A" w:rsidRDefault="00220B5A">
      <w:pPr>
        <w:spacing w:before="0" w:after="0"/>
      </w:pPr>
      <w:r>
        <w:separator/>
      </w:r>
    </w:p>
  </w:footnote>
  <w:footnote w:type="continuationSeparator" w:id="0">
    <w:p w14:paraId="05D6711D" w14:textId="77777777" w:rsidR="00220B5A" w:rsidRDefault="00220B5A">
      <w:pPr>
        <w:spacing w:before="0" w:after="0"/>
      </w:pPr>
      <w:r>
        <w:continuationSeparator/>
      </w:r>
    </w:p>
  </w:footnote>
  <w:footnote w:type="continuationNotice" w:id="1">
    <w:p w14:paraId="2C5F8A72" w14:textId="77777777" w:rsidR="00220B5A" w:rsidRDefault="00220B5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9FD01" w14:textId="57D63C45" w:rsidR="00A03DEC" w:rsidRPr="00A03DEC" w:rsidRDefault="00A03DEC" w:rsidP="00A03DEC">
    <w:pPr>
      <w:pStyle w:val="Header"/>
      <w:tabs>
        <w:tab w:val="clear" w:pos="4680"/>
        <w:tab w:val="clear" w:pos="9360"/>
        <w:tab w:val="left" w:pos="8232"/>
      </w:tabs>
      <w:rPr>
        <w:sz w:val="16"/>
        <w:szCs w:val="16"/>
      </w:rPr>
    </w:pPr>
    <w:r w:rsidRPr="00CA22F5">
      <w:rPr>
        <w:noProof/>
        <w:sz w:val="16"/>
        <w:szCs w:val="16"/>
      </w:rPr>
      <w:drawing>
        <wp:anchor distT="0" distB="0" distL="114300" distR="114300" simplePos="0" relativeHeight="251658240" behindDoc="0" locked="0" layoutInCell="1" allowOverlap="1" wp14:anchorId="3FBD866C" wp14:editId="64DAABAF">
          <wp:simplePos x="0" y="0"/>
          <wp:positionH relativeFrom="margin">
            <wp:align>right</wp:align>
          </wp:positionH>
          <wp:positionV relativeFrom="page">
            <wp:posOffset>228600</wp:posOffset>
          </wp:positionV>
          <wp:extent cx="1975104" cy="914400"/>
          <wp:effectExtent l="0" t="0" r="6350" b="0"/>
          <wp:wrapTopAndBottom/>
          <wp:docPr id="13329610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104" cy="914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C72E"/>
    <w:multiLevelType w:val="hybridMultilevel"/>
    <w:tmpl w:val="64D84500"/>
    <w:lvl w:ilvl="0" w:tplc="CF964A86">
      <w:start w:val="1"/>
      <w:numFmt w:val="bullet"/>
      <w:lvlText w:val=""/>
      <w:lvlJc w:val="left"/>
      <w:pPr>
        <w:ind w:left="720" w:hanging="360"/>
      </w:pPr>
      <w:rPr>
        <w:rFonts w:ascii="Symbol" w:hAnsi="Symbol" w:hint="default"/>
      </w:rPr>
    </w:lvl>
    <w:lvl w:ilvl="1" w:tplc="79C85192">
      <w:start w:val="1"/>
      <w:numFmt w:val="bullet"/>
      <w:lvlText w:val="o"/>
      <w:lvlJc w:val="left"/>
      <w:pPr>
        <w:ind w:left="1440" w:hanging="360"/>
      </w:pPr>
      <w:rPr>
        <w:rFonts w:ascii="Courier New" w:hAnsi="Courier New" w:hint="default"/>
        <w:sz w:val="22"/>
        <w:szCs w:val="22"/>
      </w:rPr>
    </w:lvl>
    <w:lvl w:ilvl="2" w:tplc="62C6D412">
      <w:start w:val="1"/>
      <w:numFmt w:val="bullet"/>
      <w:lvlText w:val=""/>
      <w:lvlJc w:val="left"/>
      <w:pPr>
        <w:ind w:left="2160" w:hanging="360"/>
      </w:pPr>
      <w:rPr>
        <w:rFonts w:ascii="Wingdings" w:hAnsi="Wingdings" w:hint="default"/>
      </w:rPr>
    </w:lvl>
    <w:lvl w:ilvl="3" w:tplc="6DEEA274">
      <w:start w:val="1"/>
      <w:numFmt w:val="bullet"/>
      <w:lvlText w:val=""/>
      <w:lvlJc w:val="left"/>
      <w:pPr>
        <w:ind w:left="2880" w:hanging="360"/>
      </w:pPr>
      <w:rPr>
        <w:rFonts w:ascii="Symbol" w:hAnsi="Symbol" w:hint="default"/>
        <w:vertAlign w:val="baseline"/>
      </w:rPr>
    </w:lvl>
    <w:lvl w:ilvl="4" w:tplc="55F87A8E">
      <w:start w:val="1"/>
      <w:numFmt w:val="bullet"/>
      <w:lvlText w:val="o"/>
      <w:lvlJc w:val="left"/>
      <w:pPr>
        <w:ind w:left="3600" w:hanging="360"/>
      </w:pPr>
      <w:rPr>
        <w:rFonts w:ascii="Courier New" w:hAnsi="Courier New" w:hint="default"/>
      </w:rPr>
    </w:lvl>
    <w:lvl w:ilvl="5" w:tplc="3C422C1C">
      <w:start w:val="1"/>
      <w:numFmt w:val="bullet"/>
      <w:lvlText w:val=""/>
      <w:lvlJc w:val="left"/>
      <w:pPr>
        <w:ind w:left="4320" w:hanging="360"/>
      </w:pPr>
      <w:rPr>
        <w:rFonts w:ascii="Wingdings" w:hAnsi="Wingdings" w:hint="default"/>
      </w:rPr>
    </w:lvl>
    <w:lvl w:ilvl="6" w:tplc="8B0E0176">
      <w:start w:val="1"/>
      <w:numFmt w:val="bullet"/>
      <w:lvlText w:val=""/>
      <w:lvlJc w:val="left"/>
      <w:pPr>
        <w:ind w:left="5040" w:hanging="360"/>
      </w:pPr>
      <w:rPr>
        <w:rFonts w:ascii="Symbol" w:hAnsi="Symbol" w:hint="default"/>
      </w:rPr>
    </w:lvl>
    <w:lvl w:ilvl="7" w:tplc="8E327F42">
      <w:start w:val="1"/>
      <w:numFmt w:val="bullet"/>
      <w:lvlText w:val="o"/>
      <w:lvlJc w:val="left"/>
      <w:pPr>
        <w:ind w:left="5760" w:hanging="360"/>
      </w:pPr>
      <w:rPr>
        <w:rFonts w:ascii="Courier New" w:hAnsi="Courier New" w:hint="default"/>
      </w:rPr>
    </w:lvl>
    <w:lvl w:ilvl="8" w:tplc="8A8458C6">
      <w:start w:val="1"/>
      <w:numFmt w:val="bullet"/>
      <w:lvlText w:val=""/>
      <w:lvlJc w:val="left"/>
      <w:pPr>
        <w:ind w:left="6480" w:hanging="360"/>
      </w:pPr>
      <w:rPr>
        <w:rFonts w:ascii="Wingdings" w:hAnsi="Wingdings" w:hint="default"/>
      </w:rPr>
    </w:lvl>
  </w:abstractNum>
  <w:abstractNum w:abstractNumId="1" w15:restartNumberingAfterBreak="0">
    <w:nsid w:val="00294AEA"/>
    <w:multiLevelType w:val="hybridMultilevel"/>
    <w:tmpl w:val="782EFDE6"/>
    <w:lvl w:ilvl="0" w:tplc="0409000F">
      <w:start w:val="1"/>
      <w:numFmt w:val="decimal"/>
      <w:lvlText w:val="%1."/>
      <w:lvlJc w:val="left"/>
      <w:pPr>
        <w:ind w:left="0" w:hanging="259"/>
      </w:pPr>
    </w:lvl>
    <w:lvl w:ilvl="1" w:tplc="FFFFFFFF">
      <w:start w:val="1"/>
      <w:numFmt w:val="lowerLetter"/>
      <w:lvlText w:val="%2."/>
      <w:lvlJc w:val="left"/>
      <w:pPr>
        <w:ind w:left="0" w:hanging="259"/>
      </w:pPr>
    </w:lvl>
    <w:lvl w:ilvl="2" w:tplc="FFFFFFFF">
      <w:start w:val="1"/>
      <w:numFmt w:val="lowerRoman"/>
      <w:lvlText w:val="%3."/>
      <w:lvlJc w:val="left"/>
      <w:pPr>
        <w:ind w:left="0" w:hanging="259"/>
      </w:pPr>
    </w:lvl>
    <w:lvl w:ilvl="3" w:tplc="FFFFFFFF">
      <w:start w:val="1"/>
      <w:numFmt w:val="decimal"/>
      <w:lvlText w:val="%4."/>
      <w:lvlJc w:val="left"/>
      <w:pPr>
        <w:ind w:left="0" w:hanging="259"/>
      </w:pPr>
    </w:lvl>
    <w:lvl w:ilvl="4" w:tplc="FFFFFFFF">
      <w:start w:val="1"/>
      <w:numFmt w:val="lowerLetter"/>
      <w:lvlText w:val="%5."/>
      <w:lvlJc w:val="left"/>
      <w:pPr>
        <w:ind w:left="0" w:hanging="259"/>
      </w:pPr>
    </w:lvl>
    <w:lvl w:ilvl="5" w:tplc="FFFFFFFF">
      <w:start w:val="1"/>
      <w:numFmt w:val="lowerRoman"/>
      <w:lvlText w:val="%6."/>
      <w:lvlJc w:val="left"/>
      <w:pPr>
        <w:ind w:left="0" w:hanging="259"/>
      </w:pPr>
    </w:lvl>
    <w:lvl w:ilvl="6" w:tplc="FFFFFFFF">
      <w:start w:val="1"/>
      <w:numFmt w:val="decimal"/>
      <w:lvlText w:val="%7."/>
      <w:lvlJc w:val="left"/>
      <w:pPr>
        <w:ind w:left="0" w:hanging="259"/>
      </w:pPr>
    </w:lvl>
    <w:lvl w:ilvl="7" w:tplc="FFFFFFFF">
      <w:start w:val="1"/>
      <w:numFmt w:val="lowerLetter"/>
      <w:lvlText w:val="%8."/>
      <w:lvlJc w:val="left"/>
      <w:pPr>
        <w:ind w:left="0" w:hanging="259"/>
      </w:pPr>
    </w:lvl>
    <w:lvl w:ilvl="8" w:tplc="FFFFFFFF">
      <w:start w:val="1"/>
      <w:numFmt w:val="lowerRoman"/>
      <w:lvlText w:val="%9."/>
      <w:lvlJc w:val="left"/>
      <w:pPr>
        <w:ind w:left="0" w:hanging="259"/>
      </w:pPr>
    </w:lvl>
  </w:abstractNum>
  <w:abstractNum w:abstractNumId="2" w15:restartNumberingAfterBreak="0">
    <w:nsid w:val="0ABA26A2"/>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 w15:restartNumberingAfterBreak="0">
    <w:nsid w:val="0EBA32E4"/>
    <w:multiLevelType w:val="hybridMultilevel"/>
    <w:tmpl w:val="C0A2A686"/>
    <w:lvl w:ilvl="0" w:tplc="8FDA3E2E">
      <w:numFmt w:val="bullet"/>
      <w:lvlText w:val="•"/>
      <w:lvlJc w:val="left"/>
      <w:pPr>
        <w:ind w:left="1080" w:hanging="720"/>
      </w:pPr>
      <w:rPr>
        <w:rFonts w:ascii="Arial" w:eastAsia="Times New Roman" w:hAnsi="Arial" w:cs="Arial" w:hint="default"/>
      </w:rPr>
    </w:lvl>
    <w:lvl w:ilvl="1" w:tplc="F9C4781C">
      <w:numFmt w:val="bullet"/>
      <w:lvlText w:val=""/>
      <w:lvlJc w:val="left"/>
      <w:pPr>
        <w:ind w:left="1800" w:hanging="72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757690"/>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5" w15:restartNumberingAfterBreak="0">
    <w:nsid w:val="11F34178"/>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6" w15:restartNumberingAfterBreak="0">
    <w:nsid w:val="14EA1888"/>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7" w15:restartNumberingAfterBreak="0">
    <w:nsid w:val="15E11DEC"/>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8" w15:restartNumberingAfterBreak="0">
    <w:nsid w:val="16AE56F7"/>
    <w:multiLevelType w:val="hybridMultilevel"/>
    <w:tmpl w:val="A5A2D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E17866"/>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0" w15:restartNumberingAfterBreak="0">
    <w:nsid w:val="19EA58EE"/>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1" w15:restartNumberingAfterBreak="0">
    <w:nsid w:val="215E3F35"/>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2" w15:restartNumberingAfterBreak="0">
    <w:nsid w:val="221A781F"/>
    <w:multiLevelType w:val="hybridMultilevel"/>
    <w:tmpl w:val="4E8843C4"/>
    <w:lvl w:ilvl="0" w:tplc="CA98A60C">
      <w:numFmt w:val="bullet"/>
      <w:lvlText w:val="•"/>
      <w:lvlJc w:val="left"/>
      <w:pPr>
        <w:ind w:left="1080" w:hanging="720"/>
      </w:pPr>
      <w:rPr>
        <w:rFonts w:ascii="Arial" w:eastAsia="Times New Roman" w:hAnsi="Arial" w:cs="Arial" w:hint="default"/>
      </w:rPr>
    </w:lvl>
    <w:lvl w:ilvl="1" w:tplc="05920B10">
      <w:numFmt w:val="bullet"/>
      <w:lvlText w:val=""/>
      <w:lvlJc w:val="left"/>
      <w:pPr>
        <w:ind w:left="1800" w:hanging="72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7C5F4A"/>
    <w:multiLevelType w:val="hybridMultilevel"/>
    <w:tmpl w:val="C0F4EFAA"/>
    <w:lvl w:ilvl="0" w:tplc="E918EC54">
      <w:start w:val="1"/>
      <w:numFmt w:val="bullet"/>
      <w:lvlText w:val="●"/>
      <w:lvlJc w:val="left"/>
      <w:pPr>
        <w:ind w:left="720" w:hanging="259"/>
      </w:pPr>
    </w:lvl>
    <w:lvl w:ilvl="1" w:tplc="D770824A">
      <w:start w:val="1"/>
      <w:numFmt w:val="bullet"/>
      <w:lvlText w:val="○"/>
      <w:lvlJc w:val="left"/>
      <w:pPr>
        <w:ind w:left="720" w:hanging="259"/>
      </w:pPr>
    </w:lvl>
    <w:lvl w:ilvl="2" w:tplc="E2B27A52">
      <w:start w:val="1"/>
      <w:numFmt w:val="bullet"/>
      <w:lvlText w:val="■"/>
      <w:lvlJc w:val="left"/>
      <w:pPr>
        <w:ind w:left="720" w:hanging="259"/>
      </w:pPr>
    </w:lvl>
    <w:lvl w:ilvl="3" w:tplc="11846B38">
      <w:start w:val="1"/>
      <w:numFmt w:val="bullet"/>
      <w:lvlText w:val="●"/>
      <w:lvlJc w:val="left"/>
      <w:pPr>
        <w:ind w:left="720" w:hanging="259"/>
      </w:pPr>
    </w:lvl>
    <w:lvl w:ilvl="4" w:tplc="AC5854A0">
      <w:start w:val="1"/>
      <w:numFmt w:val="bullet"/>
      <w:lvlText w:val="○"/>
      <w:lvlJc w:val="left"/>
      <w:pPr>
        <w:ind w:left="720" w:hanging="259"/>
      </w:pPr>
    </w:lvl>
    <w:lvl w:ilvl="5" w:tplc="FB4AD1E4">
      <w:start w:val="1"/>
      <w:numFmt w:val="bullet"/>
      <w:lvlText w:val="■"/>
      <w:lvlJc w:val="left"/>
      <w:pPr>
        <w:ind w:left="720" w:hanging="259"/>
      </w:pPr>
    </w:lvl>
    <w:lvl w:ilvl="6" w:tplc="C310C426">
      <w:start w:val="1"/>
      <w:numFmt w:val="bullet"/>
      <w:lvlText w:val="●"/>
      <w:lvlJc w:val="left"/>
      <w:pPr>
        <w:ind w:left="720" w:hanging="259"/>
      </w:pPr>
    </w:lvl>
    <w:lvl w:ilvl="7" w:tplc="63D6761C">
      <w:start w:val="1"/>
      <w:numFmt w:val="bullet"/>
      <w:lvlText w:val="○"/>
      <w:lvlJc w:val="left"/>
      <w:pPr>
        <w:ind w:left="720" w:hanging="259"/>
      </w:pPr>
    </w:lvl>
    <w:lvl w:ilvl="8" w:tplc="89D64876">
      <w:start w:val="1"/>
      <w:numFmt w:val="bullet"/>
      <w:lvlText w:val="■"/>
      <w:lvlJc w:val="left"/>
      <w:pPr>
        <w:ind w:left="720" w:hanging="259"/>
      </w:pPr>
    </w:lvl>
  </w:abstractNum>
  <w:abstractNum w:abstractNumId="14" w15:restartNumberingAfterBreak="0">
    <w:nsid w:val="2E425FAB"/>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5" w15:restartNumberingAfterBreak="0">
    <w:nsid w:val="30740577"/>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6" w15:restartNumberingAfterBreak="0">
    <w:nsid w:val="351C41D9"/>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7" w15:restartNumberingAfterBreak="0">
    <w:nsid w:val="37236B57"/>
    <w:multiLevelType w:val="hybridMultilevel"/>
    <w:tmpl w:val="AB06738E"/>
    <w:lvl w:ilvl="0" w:tplc="7E68C478">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0C37D5"/>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9" w15:restartNumberingAfterBreak="0">
    <w:nsid w:val="3A0C1BE1"/>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0" w15:restartNumberingAfterBreak="0">
    <w:nsid w:val="3AA87E00"/>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1" w15:restartNumberingAfterBreak="0">
    <w:nsid w:val="3D5234E6"/>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2" w15:restartNumberingAfterBreak="0">
    <w:nsid w:val="3F776D3A"/>
    <w:multiLevelType w:val="hybridMultilevel"/>
    <w:tmpl w:val="340AAA5C"/>
    <w:lvl w:ilvl="0" w:tplc="26108B24">
      <w:start w:val="1"/>
      <w:numFmt w:val="bullet"/>
      <w:lvlText w:val="●"/>
      <w:lvlJc w:val="left"/>
      <w:pPr>
        <w:ind w:left="0" w:hanging="259"/>
      </w:pPr>
    </w:lvl>
    <w:lvl w:ilvl="1" w:tplc="4C8E4588">
      <w:start w:val="1"/>
      <w:numFmt w:val="bullet"/>
      <w:lvlText w:val="○"/>
      <w:lvlJc w:val="left"/>
      <w:pPr>
        <w:ind w:left="0" w:hanging="259"/>
      </w:pPr>
    </w:lvl>
    <w:lvl w:ilvl="2" w:tplc="E4A0755C">
      <w:start w:val="1"/>
      <w:numFmt w:val="bullet"/>
      <w:lvlText w:val="■"/>
      <w:lvlJc w:val="left"/>
      <w:pPr>
        <w:ind w:left="0" w:hanging="259"/>
      </w:pPr>
    </w:lvl>
    <w:lvl w:ilvl="3" w:tplc="B3101CBE">
      <w:start w:val="1"/>
      <w:numFmt w:val="bullet"/>
      <w:lvlText w:val="●"/>
      <w:lvlJc w:val="left"/>
      <w:pPr>
        <w:ind w:left="0" w:hanging="259"/>
      </w:pPr>
    </w:lvl>
    <w:lvl w:ilvl="4" w:tplc="E74861A8">
      <w:start w:val="1"/>
      <w:numFmt w:val="bullet"/>
      <w:lvlText w:val="○"/>
      <w:lvlJc w:val="left"/>
      <w:pPr>
        <w:ind w:left="0" w:hanging="259"/>
      </w:pPr>
    </w:lvl>
    <w:lvl w:ilvl="5" w:tplc="DD8E0B8E">
      <w:start w:val="1"/>
      <w:numFmt w:val="bullet"/>
      <w:lvlText w:val="■"/>
      <w:lvlJc w:val="left"/>
      <w:pPr>
        <w:ind w:left="0" w:hanging="259"/>
      </w:pPr>
    </w:lvl>
    <w:lvl w:ilvl="6" w:tplc="92D0BF6E">
      <w:start w:val="1"/>
      <w:numFmt w:val="bullet"/>
      <w:lvlText w:val="●"/>
      <w:lvlJc w:val="left"/>
      <w:pPr>
        <w:ind w:left="0" w:hanging="259"/>
      </w:pPr>
    </w:lvl>
    <w:lvl w:ilvl="7" w:tplc="71DEB048">
      <w:start w:val="1"/>
      <w:numFmt w:val="bullet"/>
      <w:lvlText w:val="○"/>
      <w:lvlJc w:val="left"/>
      <w:pPr>
        <w:ind w:left="0" w:hanging="259"/>
      </w:pPr>
    </w:lvl>
    <w:lvl w:ilvl="8" w:tplc="31ACF3F8">
      <w:start w:val="1"/>
      <w:numFmt w:val="bullet"/>
      <w:lvlText w:val="■"/>
      <w:lvlJc w:val="left"/>
      <w:pPr>
        <w:ind w:left="0" w:hanging="259"/>
      </w:pPr>
    </w:lvl>
  </w:abstractNum>
  <w:abstractNum w:abstractNumId="23" w15:restartNumberingAfterBreak="0">
    <w:nsid w:val="40536AB4"/>
    <w:multiLevelType w:val="hybridMultilevel"/>
    <w:tmpl w:val="90BAC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F670CF"/>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5" w15:restartNumberingAfterBreak="0">
    <w:nsid w:val="46DD56E2"/>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6" w15:restartNumberingAfterBreak="0">
    <w:nsid w:val="492849BC"/>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7" w15:restartNumberingAfterBreak="0">
    <w:nsid w:val="4CF215A4"/>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8" w15:restartNumberingAfterBreak="0">
    <w:nsid w:val="5CAF6502"/>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9" w15:restartNumberingAfterBreak="0">
    <w:nsid w:val="600C646C"/>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0" w15:restartNumberingAfterBreak="0">
    <w:nsid w:val="60486FF0"/>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1" w15:restartNumberingAfterBreak="0">
    <w:nsid w:val="6ADF2B0A"/>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2" w15:restartNumberingAfterBreak="0">
    <w:nsid w:val="6BDF071B"/>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3" w15:restartNumberingAfterBreak="0">
    <w:nsid w:val="6D5E00D0"/>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4" w15:restartNumberingAfterBreak="0">
    <w:nsid w:val="7098361B"/>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5" w15:restartNumberingAfterBreak="0">
    <w:nsid w:val="73F2660E"/>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6" w15:restartNumberingAfterBreak="0">
    <w:nsid w:val="79CB2816"/>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7" w15:restartNumberingAfterBreak="0">
    <w:nsid w:val="79F9126E"/>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8" w15:restartNumberingAfterBreak="0">
    <w:nsid w:val="7DFA3919"/>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9" w15:restartNumberingAfterBreak="0">
    <w:nsid w:val="7FAC4424"/>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40" w15:restartNumberingAfterBreak="0">
    <w:nsid w:val="7FD269CD"/>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num w:numId="1" w16cid:durableId="1138576108">
    <w:abstractNumId w:val="13"/>
    <w:lvlOverride w:ilvl="0">
      <w:startOverride w:val="1"/>
    </w:lvlOverride>
  </w:num>
  <w:num w:numId="2" w16cid:durableId="1704356648">
    <w:abstractNumId w:val="22"/>
    <w:lvlOverride w:ilvl="0">
      <w:startOverride w:val="1"/>
    </w:lvlOverride>
  </w:num>
  <w:num w:numId="3" w16cid:durableId="1483080296">
    <w:abstractNumId w:val="4"/>
  </w:num>
  <w:num w:numId="4" w16cid:durableId="1938244795">
    <w:abstractNumId w:val="35"/>
  </w:num>
  <w:num w:numId="5" w16cid:durableId="443425685">
    <w:abstractNumId w:val="16"/>
  </w:num>
  <w:num w:numId="6" w16cid:durableId="1035155679">
    <w:abstractNumId w:val="36"/>
  </w:num>
  <w:num w:numId="7" w16cid:durableId="1644895934">
    <w:abstractNumId w:val="9"/>
  </w:num>
  <w:num w:numId="8" w16cid:durableId="108479868">
    <w:abstractNumId w:val="29"/>
  </w:num>
  <w:num w:numId="9" w16cid:durableId="1305232670">
    <w:abstractNumId w:val="27"/>
  </w:num>
  <w:num w:numId="10" w16cid:durableId="2028941698">
    <w:abstractNumId w:val="2"/>
  </w:num>
  <w:num w:numId="11" w16cid:durableId="685055951">
    <w:abstractNumId w:val="34"/>
  </w:num>
  <w:num w:numId="12" w16cid:durableId="1693796029">
    <w:abstractNumId w:val="5"/>
  </w:num>
  <w:num w:numId="13" w16cid:durableId="1488281355">
    <w:abstractNumId w:val="39"/>
  </w:num>
  <w:num w:numId="14" w16cid:durableId="1127746351">
    <w:abstractNumId w:val="1"/>
  </w:num>
  <w:num w:numId="15" w16cid:durableId="1163937515">
    <w:abstractNumId w:val="33"/>
  </w:num>
  <w:num w:numId="16" w16cid:durableId="1995992187">
    <w:abstractNumId w:val="37"/>
  </w:num>
  <w:num w:numId="17" w16cid:durableId="950631868">
    <w:abstractNumId w:val="31"/>
  </w:num>
  <w:num w:numId="18" w16cid:durableId="1517035596">
    <w:abstractNumId w:val="26"/>
  </w:num>
  <w:num w:numId="19" w16cid:durableId="1614359465">
    <w:abstractNumId w:val="19"/>
  </w:num>
  <w:num w:numId="20" w16cid:durableId="839387076">
    <w:abstractNumId w:val="6"/>
  </w:num>
  <w:num w:numId="21" w16cid:durableId="1537111969">
    <w:abstractNumId w:val="15"/>
  </w:num>
  <w:num w:numId="22" w16cid:durableId="2022773969">
    <w:abstractNumId w:val="18"/>
  </w:num>
  <w:num w:numId="23" w16cid:durableId="547644220">
    <w:abstractNumId w:val="20"/>
  </w:num>
  <w:num w:numId="24" w16cid:durableId="313678777">
    <w:abstractNumId w:val="11"/>
  </w:num>
  <w:num w:numId="25" w16cid:durableId="80952899">
    <w:abstractNumId w:val="30"/>
  </w:num>
  <w:num w:numId="26" w16cid:durableId="2072842429">
    <w:abstractNumId w:val="28"/>
  </w:num>
  <w:num w:numId="27" w16cid:durableId="2086607144">
    <w:abstractNumId w:val="25"/>
  </w:num>
  <w:num w:numId="28" w16cid:durableId="1729299406">
    <w:abstractNumId w:val="7"/>
  </w:num>
  <w:num w:numId="29" w16cid:durableId="2028435484">
    <w:abstractNumId w:val="0"/>
  </w:num>
  <w:num w:numId="30" w16cid:durableId="433867396">
    <w:abstractNumId w:val="32"/>
  </w:num>
  <w:num w:numId="31" w16cid:durableId="1470515242">
    <w:abstractNumId w:val="23"/>
  </w:num>
  <w:num w:numId="32" w16cid:durableId="1174343212">
    <w:abstractNumId w:val="8"/>
  </w:num>
  <w:num w:numId="33" w16cid:durableId="796143920">
    <w:abstractNumId w:val="21"/>
  </w:num>
  <w:num w:numId="34" w16cid:durableId="2098281171">
    <w:abstractNumId w:val="38"/>
  </w:num>
  <w:num w:numId="35" w16cid:durableId="505093378">
    <w:abstractNumId w:val="10"/>
  </w:num>
  <w:num w:numId="36" w16cid:durableId="759713087">
    <w:abstractNumId w:val="17"/>
  </w:num>
  <w:num w:numId="37" w16cid:durableId="1583685056">
    <w:abstractNumId w:val="40"/>
  </w:num>
  <w:num w:numId="38" w16cid:durableId="1218472409">
    <w:abstractNumId w:val="12"/>
  </w:num>
  <w:num w:numId="39" w16cid:durableId="941189151">
    <w:abstractNumId w:val="14"/>
  </w:num>
  <w:num w:numId="40" w16cid:durableId="1461992213">
    <w:abstractNumId w:val="3"/>
  </w:num>
  <w:num w:numId="41" w16cid:durableId="1447697994">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linkStyl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8E6"/>
    <w:rsid w:val="00003758"/>
    <w:rsid w:val="0000507B"/>
    <w:rsid w:val="0001683F"/>
    <w:rsid w:val="00020083"/>
    <w:rsid w:val="00020EE2"/>
    <w:rsid w:val="00033EE8"/>
    <w:rsid w:val="0003646D"/>
    <w:rsid w:val="000428D6"/>
    <w:rsid w:val="0004324C"/>
    <w:rsid w:val="0004797B"/>
    <w:rsid w:val="00050037"/>
    <w:rsid w:val="00085B86"/>
    <w:rsid w:val="00090D5F"/>
    <w:rsid w:val="00091912"/>
    <w:rsid w:val="00094ADB"/>
    <w:rsid w:val="000B5014"/>
    <w:rsid w:val="000D07A6"/>
    <w:rsid w:val="000D4859"/>
    <w:rsid w:val="000E4020"/>
    <w:rsid w:val="000E54AA"/>
    <w:rsid w:val="000E56E6"/>
    <w:rsid w:val="000F26CB"/>
    <w:rsid w:val="000F3733"/>
    <w:rsid w:val="000F4F33"/>
    <w:rsid w:val="00105140"/>
    <w:rsid w:val="00107484"/>
    <w:rsid w:val="001201F3"/>
    <w:rsid w:val="00121D1A"/>
    <w:rsid w:val="00124122"/>
    <w:rsid w:val="00131376"/>
    <w:rsid w:val="001331D9"/>
    <w:rsid w:val="00137B11"/>
    <w:rsid w:val="00153A72"/>
    <w:rsid w:val="001542FF"/>
    <w:rsid w:val="00161E75"/>
    <w:rsid w:val="001671CE"/>
    <w:rsid w:val="00167F03"/>
    <w:rsid w:val="00170BE8"/>
    <w:rsid w:val="00184B0B"/>
    <w:rsid w:val="00192D85"/>
    <w:rsid w:val="00196179"/>
    <w:rsid w:val="001A3A08"/>
    <w:rsid w:val="001B47C5"/>
    <w:rsid w:val="001C3443"/>
    <w:rsid w:val="001C3750"/>
    <w:rsid w:val="001C6AD6"/>
    <w:rsid w:val="001E0F78"/>
    <w:rsid w:val="001F3FBD"/>
    <w:rsid w:val="001F417F"/>
    <w:rsid w:val="0020217A"/>
    <w:rsid w:val="00207AF2"/>
    <w:rsid w:val="00211956"/>
    <w:rsid w:val="00220B5A"/>
    <w:rsid w:val="00226856"/>
    <w:rsid w:val="00227F60"/>
    <w:rsid w:val="0025327F"/>
    <w:rsid w:val="00254BB7"/>
    <w:rsid w:val="002561E8"/>
    <w:rsid w:val="00263FDE"/>
    <w:rsid w:val="00266200"/>
    <w:rsid w:val="0028139F"/>
    <w:rsid w:val="00297D58"/>
    <w:rsid w:val="002A1528"/>
    <w:rsid w:val="002A5A0A"/>
    <w:rsid w:val="002A7978"/>
    <w:rsid w:val="002B4658"/>
    <w:rsid w:val="002B581F"/>
    <w:rsid w:val="002C685E"/>
    <w:rsid w:val="002D5BAA"/>
    <w:rsid w:val="002F2953"/>
    <w:rsid w:val="002F45AA"/>
    <w:rsid w:val="0030732A"/>
    <w:rsid w:val="00323070"/>
    <w:rsid w:val="00333D6B"/>
    <w:rsid w:val="003427A7"/>
    <w:rsid w:val="0035509D"/>
    <w:rsid w:val="00365F00"/>
    <w:rsid w:val="003662E8"/>
    <w:rsid w:val="00366A37"/>
    <w:rsid w:val="00371D5A"/>
    <w:rsid w:val="00384982"/>
    <w:rsid w:val="00392C61"/>
    <w:rsid w:val="003B578D"/>
    <w:rsid w:val="003B7958"/>
    <w:rsid w:val="003F1770"/>
    <w:rsid w:val="003F54EB"/>
    <w:rsid w:val="003F7E4D"/>
    <w:rsid w:val="00402D8F"/>
    <w:rsid w:val="00414617"/>
    <w:rsid w:val="0042476C"/>
    <w:rsid w:val="00426325"/>
    <w:rsid w:val="0042696D"/>
    <w:rsid w:val="0043139B"/>
    <w:rsid w:val="00441648"/>
    <w:rsid w:val="0048594A"/>
    <w:rsid w:val="00491493"/>
    <w:rsid w:val="004A6F71"/>
    <w:rsid w:val="004B5DBF"/>
    <w:rsid w:val="004C3BCE"/>
    <w:rsid w:val="004D1915"/>
    <w:rsid w:val="004D20A0"/>
    <w:rsid w:val="004D6F63"/>
    <w:rsid w:val="004E6F21"/>
    <w:rsid w:val="004F0DFB"/>
    <w:rsid w:val="005034EE"/>
    <w:rsid w:val="00515EC6"/>
    <w:rsid w:val="00517ECF"/>
    <w:rsid w:val="00520329"/>
    <w:rsid w:val="00534131"/>
    <w:rsid w:val="00535D45"/>
    <w:rsid w:val="00542876"/>
    <w:rsid w:val="00543C8C"/>
    <w:rsid w:val="00544A93"/>
    <w:rsid w:val="00544CAA"/>
    <w:rsid w:val="00560A25"/>
    <w:rsid w:val="00593230"/>
    <w:rsid w:val="005C156E"/>
    <w:rsid w:val="005D7959"/>
    <w:rsid w:val="005E1BA6"/>
    <w:rsid w:val="005F20CB"/>
    <w:rsid w:val="005F4EF2"/>
    <w:rsid w:val="005F6B75"/>
    <w:rsid w:val="005F7F01"/>
    <w:rsid w:val="0060068D"/>
    <w:rsid w:val="00603A46"/>
    <w:rsid w:val="006115FD"/>
    <w:rsid w:val="00616A54"/>
    <w:rsid w:val="00616BF8"/>
    <w:rsid w:val="0063414B"/>
    <w:rsid w:val="0064427B"/>
    <w:rsid w:val="00645EB1"/>
    <w:rsid w:val="00656174"/>
    <w:rsid w:val="00673DF1"/>
    <w:rsid w:val="006759EC"/>
    <w:rsid w:val="00687B17"/>
    <w:rsid w:val="0069442A"/>
    <w:rsid w:val="006A14AE"/>
    <w:rsid w:val="006B408B"/>
    <w:rsid w:val="006B4506"/>
    <w:rsid w:val="006E1B27"/>
    <w:rsid w:val="006F2FF7"/>
    <w:rsid w:val="006F3F41"/>
    <w:rsid w:val="00713883"/>
    <w:rsid w:val="00714A8C"/>
    <w:rsid w:val="007420BF"/>
    <w:rsid w:val="00757FF3"/>
    <w:rsid w:val="007765BD"/>
    <w:rsid w:val="0078667C"/>
    <w:rsid w:val="00786F56"/>
    <w:rsid w:val="0079769E"/>
    <w:rsid w:val="007C0375"/>
    <w:rsid w:val="007F147F"/>
    <w:rsid w:val="00800EA8"/>
    <w:rsid w:val="008200CB"/>
    <w:rsid w:val="008401CF"/>
    <w:rsid w:val="008541B7"/>
    <w:rsid w:val="0087202E"/>
    <w:rsid w:val="008804D2"/>
    <w:rsid w:val="0088160A"/>
    <w:rsid w:val="00886909"/>
    <w:rsid w:val="008912B2"/>
    <w:rsid w:val="008A68A1"/>
    <w:rsid w:val="008B6DBE"/>
    <w:rsid w:val="008D27CA"/>
    <w:rsid w:val="008E620A"/>
    <w:rsid w:val="008F3B8D"/>
    <w:rsid w:val="00903D20"/>
    <w:rsid w:val="00937AE7"/>
    <w:rsid w:val="00940509"/>
    <w:rsid w:val="0094142F"/>
    <w:rsid w:val="00945A28"/>
    <w:rsid w:val="00962667"/>
    <w:rsid w:val="009A3F39"/>
    <w:rsid w:val="009B05C5"/>
    <w:rsid w:val="009B7435"/>
    <w:rsid w:val="009C6502"/>
    <w:rsid w:val="009D024B"/>
    <w:rsid w:val="009E5DF1"/>
    <w:rsid w:val="009F0851"/>
    <w:rsid w:val="009F1781"/>
    <w:rsid w:val="00A03DEC"/>
    <w:rsid w:val="00A13DF0"/>
    <w:rsid w:val="00A306FF"/>
    <w:rsid w:val="00A376EA"/>
    <w:rsid w:val="00A438AD"/>
    <w:rsid w:val="00A55E7D"/>
    <w:rsid w:val="00A858B1"/>
    <w:rsid w:val="00A93CE4"/>
    <w:rsid w:val="00A95B64"/>
    <w:rsid w:val="00AA523B"/>
    <w:rsid w:val="00AB1645"/>
    <w:rsid w:val="00AD63EA"/>
    <w:rsid w:val="00B04EC0"/>
    <w:rsid w:val="00B10F99"/>
    <w:rsid w:val="00B21AF9"/>
    <w:rsid w:val="00B2430F"/>
    <w:rsid w:val="00B453FA"/>
    <w:rsid w:val="00B4747E"/>
    <w:rsid w:val="00B51283"/>
    <w:rsid w:val="00B51DFE"/>
    <w:rsid w:val="00B5432B"/>
    <w:rsid w:val="00B577D6"/>
    <w:rsid w:val="00B64842"/>
    <w:rsid w:val="00B73404"/>
    <w:rsid w:val="00B82A24"/>
    <w:rsid w:val="00B91C27"/>
    <w:rsid w:val="00B95186"/>
    <w:rsid w:val="00BB0C81"/>
    <w:rsid w:val="00BB31CA"/>
    <w:rsid w:val="00BB3C91"/>
    <w:rsid w:val="00BB51F1"/>
    <w:rsid w:val="00BE1780"/>
    <w:rsid w:val="00BE46D9"/>
    <w:rsid w:val="00C037EE"/>
    <w:rsid w:val="00C06406"/>
    <w:rsid w:val="00C10F2D"/>
    <w:rsid w:val="00C158BC"/>
    <w:rsid w:val="00C36914"/>
    <w:rsid w:val="00C61AAC"/>
    <w:rsid w:val="00C70BDC"/>
    <w:rsid w:val="00C745F3"/>
    <w:rsid w:val="00C764C3"/>
    <w:rsid w:val="00C873E9"/>
    <w:rsid w:val="00C96DD2"/>
    <w:rsid w:val="00CA28D5"/>
    <w:rsid w:val="00CA5D81"/>
    <w:rsid w:val="00CA6FC8"/>
    <w:rsid w:val="00CB2E3F"/>
    <w:rsid w:val="00D0363C"/>
    <w:rsid w:val="00D0632A"/>
    <w:rsid w:val="00D14C19"/>
    <w:rsid w:val="00D20CC0"/>
    <w:rsid w:val="00D256CA"/>
    <w:rsid w:val="00D26970"/>
    <w:rsid w:val="00D72CDD"/>
    <w:rsid w:val="00D80977"/>
    <w:rsid w:val="00D87D1A"/>
    <w:rsid w:val="00D9316C"/>
    <w:rsid w:val="00DA3DAC"/>
    <w:rsid w:val="00DB5A1E"/>
    <w:rsid w:val="00DB747B"/>
    <w:rsid w:val="00DD0682"/>
    <w:rsid w:val="00DD7B3A"/>
    <w:rsid w:val="00DE394E"/>
    <w:rsid w:val="00DF57A9"/>
    <w:rsid w:val="00E11670"/>
    <w:rsid w:val="00E150C0"/>
    <w:rsid w:val="00E177C5"/>
    <w:rsid w:val="00E2150A"/>
    <w:rsid w:val="00E32497"/>
    <w:rsid w:val="00E32AC4"/>
    <w:rsid w:val="00E35E4A"/>
    <w:rsid w:val="00E36087"/>
    <w:rsid w:val="00E7170E"/>
    <w:rsid w:val="00E71B1A"/>
    <w:rsid w:val="00E768E6"/>
    <w:rsid w:val="00E81E1A"/>
    <w:rsid w:val="00EC13C6"/>
    <w:rsid w:val="00F01531"/>
    <w:rsid w:val="00F02B20"/>
    <w:rsid w:val="00F03691"/>
    <w:rsid w:val="00F14AB7"/>
    <w:rsid w:val="00F34832"/>
    <w:rsid w:val="00F45AB3"/>
    <w:rsid w:val="00F5520D"/>
    <w:rsid w:val="00F57D9A"/>
    <w:rsid w:val="00F92FF8"/>
    <w:rsid w:val="00F965EF"/>
    <w:rsid w:val="00FA085B"/>
    <w:rsid w:val="00FA12C1"/>
    <w:rsid w:val="00FA2F64"/>
    <w:rsid w:val="00FB22B9"/>
    <w:rsid w:val="00FD4011"/>
    <w:rsid w:val="00FE026E"/>
    <w:rsid w:val="00FE13FF"/>
    <w:rsid w:val="00FE24AC"/>
    <w:rsid w:val="00FE5C14"/>
    <w:rsid w:val="21CF55F4"/>
    <w:rsid w:val="3568AC65"/>
    <w:rsid w:val="37E45CE3"/>
    <w:rsid w:val="5D66B660"/>
    <w:rsid w:val="72B2B45A"/>
    <w:rsid w:val="7A2049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6E745"/>
  <w15:docId w15:val="{625BDA65-BBE5-47EC-94FA-D35E21551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6"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unhideWhenUsed="1" w:qFormat="1"/>
    <w:lsdException w:name="heading 6" w:semiHidden="1" w:uiPriority="18"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8" w:unhideWhenUsed="1"/>
    <w:lsdException w:name="TOC Heading" w:semiHidden="1" w:uiPriority="1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6"/>
    <w:qFormat/>
    <w:rsid w:val="004A6F71"/>
    <w:pPr>
      <w:spacing w:before="120" w:after="120"/>
    </w:pPr>
    <w:rPr>
      <w:rFonts w:ascii="Arial" w:hAnsi="Arial"/>
      <w:sz w:val="22"/>
      <w:szCs w:val="22"/>
    </w:rPr>
  </w:style>
  <w:style w:type="paragraph" w:styleId="Heading1">
    <w:name w:val="heading 1"/>
    <w:uiPriority w:val="1"/>
    <w:qFormat/>
    <w:rsid w:val="004A6F71"/>
    <w:pPr>
      <w:widowControl w:val="0"/>
      <w:spacing w:before="600" w:after="120"/>
      <w:outlineLvl w:val="0"/>
    </w:pPr>
    <w:rPr>
      <w:rFonts w:ascii="Arial" w:eastAsia="Calibri" w:hAnsi="Arial" w:cs="Calibri"/>
      <w:b/>
      <w:bCs/>
      <w:caps/>
      <w:sz w:val="36"/>
      <w:szCs w:val="28"/>
    </w:rPr>
  </w:style>
  <w:style w:type="paragraph" w:styleId="Heading2">
    <w:name w:val="heading 2"/>
    <w:uiPriority w:val="2"/>
    <w:qFormat/>
    <w:rsid w:val="004A6F71"/>
    <w:pPr>
      <w:widowControl w:val="0"/>
      <w:spacing w:before="240" w:after="120"/>
      <w:outlineLvl w:val="1"/>
    </w:pPr>
    <w:rPr>
      <w:rFonts w:ascii="Arial" w:eastAsia="Calibri" w:hAnsi="Arial" w:cs="Calibri"/>
      <w:b/>
      <w:bCs/>
      <w:sz w:val="32"/>
      <w:szCs w:val="28"/>
    </w:rPr>
  </w:style>
  <w:style w:type="paragraph" w:styleId="Heading3">
    <w:name w:val="heading 3"/>
    <w:uiPriority w:val="3"/>
    <w:qFormat/>
    <w:rsid w:val="004A6F71"/>
    <w:pPr>
      <w:widowControl w:val="0"/>
      <w:spacing w:before="240" w:after="120"/>
      <w:outlineLvl w:val="2"/>
    </w:pPr>
    <w:rPr>
      <w:rFonts w:ascii="Arial" w:eastAsia="Calibri" w:hAnsi="Arial" w:cs="Calibri"/>
      <w:b/>
      <w:bCs/>
      <w:i/>
      <w:sz w:val="28"/>
      <w:szCs w:val="24"/>
    </w:rPr>
  </w:style>
  <w:style w:type="paragraph" w:styleId="Heading4">
    <w:name w:val="heading 4"/>
    <w:uiPriority w:val="4"/>
    <w:qFormat/>
    <w:rsid w:val="004A6F71"/>
    <w:pPr>
      <w:widowControl w:val="0"/>
      <w:spacing w:before="240" w:after="120"/>
      <w:outlineLvl w:val="3"/>
    </w:pPr>
    <w:rPr>
      <w:rFonts w:ascii="Arial" w:eastAsia="Calibri" w:hAnsi="Arial" w:cs="Calibri"/>
      <w:b/>
      <w:bCs/>
      <w:sz w:val="24"/>
      <w:szCs w:val="22"/>
    </w:rPr>
  </w:style>
  <w:style w:type="paragraph" w:styleId="Heading5">
    <w:name w:val="heading 5"/>
    <w:uiPriority w:val="5"/>
    <w:qFormat/>
    <w:rsid w:val="004A6F71"/>
    <w:pPr>
      <w:widowControl w:val="0"/>
      <w:spacing w:before="240" w:after="120"/>
      <w:outlineLvl w:val="4"/>
    </w:pPr>
    <w:rPr>
      <w:rFonts w:ascii="Arial" w:eastAsia="Calibri" w:hAnsi="Arial" w:cs="Calibri"/>
      <w:b/>
      <w:bCs/>
      <w:i/>
      <w:sz w:val="22"/>
      <w:szCs w:val="22"/>
    </w:rPr>
  </w:style>
  <w:style w:type="paragraph" w:styleId="Heading6">
    <w:name w:val="heading 6"/>
    <w:uiPriority w:val="18"/>
    <w:semiHidden/>
    <w:unhideWhenUsed/>
    <w:qFormat/>
    <w:rsid w:val="004A6F71"/>
    <w:pPr>
      <w:spacing w:before="120" w:after="120"/>
      <w:outlineLvl w:val="5"/>
    </w:pPr>
    <w:rPr>
      <w:rFonts w:ascii="Arial" w:hAnsi="Arial"/>
      <w:color w:val="1F4D78"/>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4A6F71"/>
    <w:pPr>
      <w:widowControl w:val="0"/>
      <w:spacing w:before="120" w:after="120"/>
    </w:pPr>
    <w:rPr>
      <w:rFonts w:ascii="Arial" w:hAnsi="Arial"/>
      <w:b/>
      <w:sz w:val="36"/>
      <w:szCs w:val="56"/>
    </w:rPr>
  </w:style>
  <w:style w:type="paragraph" w:customStyle="1" w:styleId="Strong1">
    <w:name w:val="Strong1"/>
    <w:uiPriority w:val="15"/>
    <w:qFormat/>
    <w:rsid w:val="004A6F71"/>
    <w:pPr>
      <w:spacing w:before="120" w:after="120"/>
    </w:pPr>
    <w:rPr>
      <w:rFonts w:ascii="Arial" w:hAnsi="Arial"/>
      <w:b/>
      <w:bCs/>
      <w:sz w:val="22"/>
      <w:szCs w:val="22"/>
    </w:rPr>
  </w:style>
  <w:style w:type="paragraph" w:styleId="ListParagraph">
    <w:name w:val="List Paragraph"/>
    <w:uiPriority w:val="9"/>
    <w:qFormat/>
    <w:rsid w:val="004A6F71"/>
    <w:pPr>
      <w:widowControl w:val="0"/>
      <w:spacing w:before="120" w:after="120"/>
    </w:pPr>
    <w:rPr>
      <w:rFonts w:ascii="Arial" w:eastAsia="Calibri" w:hAnsi="Arial" w:cs="Calibri"/>
      <w:sz w:val="22"/>
      <w:szCs w:val="24"/>
    </w:rPr>
  </w:style>
  <w:style w:type="character" w:styleId="Hyperlink">
    <w:name w:val="Hyperlink"/>
    <w:uiPriority w:val="99"/>
    <w:qFormat/>
    <w:rsid w:val="004A6F71"/>
    <w:rPr>
      <w:b/>
      <w:bCs/>
      <w:u w:val="single"/>
    </w:rPr>
  </w:style>
  <w:style w:type="character" w:styleId="FootnoteReference">
    <w:name w:val="footnote reference"/>
    <w:uiPriority w:val="99"/>
    <w:semiHidden/>
    <w:unhideWhenUsed/>
    <w:rsid w:val="004A6F71"/>
    <w:rPr>
      <w:vertAlign w:val="superscript"/>
    </w:rPr>
  </w:style>
  <w:style w:type="paragraph" w:styleId="FootnoteText">
    <w:name w:val="footnote text"/>
    <w:link w:val="FootnoteTextChar"/>
    <w:uiPriority w:val="99"/>
    <w:semiHidden/>
    <w:unhideWhenUsed/>
    <w:rsid w:val="004A6F71"/>
    <w:pPr>
      <w:spacing w:before="120" w:after="120"/>
    </w:pPr>
    <w:rPr>
      <w:rFonts w:ascii="Arial" w:hAnsi="Arial"/>
      <w:sz w:val="22"/>
      <w:szCs w:val="22"/>
    </w:rPr>
  </w:style>
  <w:style w:type="character" w:customStyle="1" w:styleId="FootnoteTextChar">
    <w:name w:val="Footnote Text Char"/>
    <w:link w:val="FootnoteText"/>
    <w:uiPriority w:val="99"/>
    <w:semiHidden/>
    <w:unhideWhenUsed/>
    <w:rsid w:val="004A6F71"/>
    <w:rPr>
      <w:rFonts w:ascii="Arial" w:hAnsi="Arial"/>
      <w:sz w:val="22"/>
      <w:szCs w:val="22"/>
    </w:rPr>
  </w:style>
  <w:style w:type="paragraph" w:styleId="Footer">
    <w:name w:val="footer"/>
    <w:aliases w:val="Footer 1"/>
    <w:qFormat/>
    <w:rsid w:val="004A6F71"/>
    <w:pPr>
      <w:spacing w:before="120"/>
      <w:jc w:val="both"/>
    </w:pPr>
    <w:rPr>
      <w:rFonts w:ascii="Arial" w:eastAsia="Calibri" w:hAnsi="Arial" w:cs="Calibri"/>
      <w:szCs w:val="22"/>
    </w:rPr>
  </w:style>
  <w:style w:type="paragraph" w:styleId="CommentText">
    <w:name w:val="annotation text"/>
    <w:basedOn w:val="Normal"/>
    <w:link w:val="CommentTextChar"/>
    <w:uiPriority w:val="99"/>
    <w:unhideWhenUsed/>
    <w:rsid w:val="004A6F71"/>
    <w:rPr>
      <w:sz w:val="20"/>
      <w:szCs w:val="20"/>
    </w:rPr>
  </w:style>
  <w:style w:type="character" w:customStyle="1" w:styleId="CommentTextChar">
    <w:name w:val="Comment Text Char"/>
    <w:basedOn w:val="DefaultParagraphFont"/>
    <w:link w:val="CommentText"/>
    <w:uiPriority w:val="99"/>
    <w:rsid w:val="004A6F71"/>
    <w:rPr>
      <w:rFonts w:ascii="Arial" w:hAnsi="Arial"/>
    </w:rPr>
  </w:style>
  <w:style w:type="character" w:styleId="CommentReference">
    <w:name w:val="annotation reference"/>
    <w:basedOn w:val="DefaultParagraphFont"/>
    <w:uiPriority w:val="99"/>
    <w:semiHidden/>
    <w:unhideWhenUsed/>
    <w:rsid w:val="004A6F71"/>
    <w:rPr>
      <w:sz w:val="16"/>
      <w:szCs w:val="16"/>
    </w:rPr>
  </w:style>
  <w:style w:type="paragraph" w:styleId="Revision">
    <w:name w:val="Revision"/>
    <w:hidden/>
    <w:uiPriority w:val="99"/>
    <w:semiHidden/>
    <w:rsid w:val="004A6F71"/>
    <w:pPr>
      <w:spacing w:before="120" w:after="120"/>
    </w:pPr>
    <w:rPr>
      <w:rFonts w:ascii="Calibri" w:eastAsia="Calibri" w:hAnsi="Calibri" w:cs="Calibri"/>
      <w:sz w:val="24"/>
      <w:szCs w:val="24"/>
    </w:rPr>
  </w:style>
  <w:style w:type="paragraph" w:styleId="CommentSubject">
    <w:name w:val="annotation subject"/>
    <w:basedOn w:val="CommentText"/>
    <w:next w:val="CommentText"/>
    <w:link w:val="CommentSubjectChar"/>
    <w:uiPriority w:val="99"/>
    <w:semiHidden/>
    <w:unhideWhenUsed/>
    <w:rsid w:val="004A6F71"/>
    <w:rPr>
      <w:b/>
      <w:bCs/>
    </w:rPr>
  </w:style>
  <w:style w:type="character" w:customStyle="1" w:styleId="CommentSubjectChar">
    <w:name w:val="Comment Subject Char"/>
    <w:basedOn w:val="CommentTextChar"/>
    <w:link w:val="CommentSubject"/>
    <w:uiPriority w:val="99"/>
    <w:semiHidden/>
    <w:rsid w:val="004A6F71"/>
    <w:rPr>
      <w:rFonts w:ascii="Arial" w:hAnsi="Arial"/>
      <w:b/>
      <w:bCs/>
    </w:rPr>
  </w:style>
  <w:style w:type="paragraph" w:styleId="Header">
    <w:name w:val="header"/>
    <w:basedOn w:val="Normal"/>
    <w:link w:val="HeaderChar"/>
    <w:uiPriority w:val="99"/>
    <w:unhideWhenUsed/>
    <w:rsid w:val="004A6F71"/>
    <w:pPr>
      <w:tabs>
        <w:tab w:val="center" w:pos="4680"/>
        <w:tab w:val="right" w:pos="9360"/>
      </w:tabs>
      <w:spacing w:before="0" w:after="0"/>
    </w:pPr>
  </w:style>
  <w:style w:type="character" w:customStyle="1" w:styleId="HeaderChar">
    <w:name w:val="Header Char"/>
    <w:basedOn w:val="DefaultParagraphFont"/>
    <w:link w:val="Header"/>
    <w:uiPriority w:val="99"/>
    <w:rsid w:val="004A6F71"/>
    <w:rPr>
      <w:rFonts w:ascii="Arial" w:hAnsi="Arial"/>
      <w:sz w:val="22"/>
      <w:szCs w:val="22"/>
    </w:rPr>
  </w:style>
  <w:style w:type="character" w:styleId="Mention">
    <w:name w:val="Mention"/>
    <w:basedOn w:val="DefaultParagraphFont"/>
    <w:uiPriority w:val="99"/>
    <w:unhideWhenUsed/>
    <w:rsid w:val="004A6F71"/>
    <w:rPr>
      <w:color w:val="2B579A"/>
      <w:shd w:val="clear" w:color="auto" w:fill="E1DFDD"/>
    </w:rPr>
  </w:style>
  <w:style w:type="paragraph" w:styleId="TOCHeading">
    <w:name w:val="TOC Heading"/>
    <w:basedOn w:val="Heading1"/>
    <w:uiPriority w:val="11"/>
    <w:qFormat/>
    <w:rsid w:val="004A6F71"/>
    <w:pPr>
      <w:keepNext/>
      <w:keepLines/>
      <w:widowControl/>
      <w:spacing w:line="259" w:lineRule="auto"/>
      <w:outlineLvl w:val="9"/>
    </w:pPr>
    <w:rPr>
      <w:rFonts w:eastAsiaTheme="majorEastAsia" w:cstheme="majorBidi"/>
      <w:bCs w:val="0"/>
      <w:szCs w:val="32"/>
    </w:rPr>
  </w:style>
  <w:style w:type="paragraph" w:styleId="TOC2">
    <w:name w:val="toc 2"/>
    <w:basedOn w:val="Normal"/>
    <w:uiPriority w:val="39"/>
    <w:qFormat/>
    <w:rsid w:val="004A6F71"/>
    <w:pPr>
      <w:spacing w:before="0" w:after="0"/>
      <w:ind w:left="216"/>
    </w:pPr>
    <w:rPr>
      <w:smallCaps/>
      <w:sz w:val="20"/>
    </w:rPr>
  </w:style>
  <w:style w:type="paragraph" w:styleId="TOC3">
    <w:name w:val="toc 3"/>
    <w:basedOn w:val="Normal"/>
    <w:uiPriority w:val="39"/>
    <w:qFormat/>
    <w:rsid w:val="004A6F71"/>
    <w:pPr>
      <w:spacing w:before="0" w:after="0"/>
      <w:ind w:left="446"/>
    </w:pPr>
    <w:rPr>
      <w:i/>
      <w:sz w:val="20"/>
    </w:rPr>
  </w:style>
  <w:style w:type="character" w:styleId="FollowedHyperlink">
    <w:name w:val="FollowedHyperlink"/>
    <w:basedOn w:val="DefaultParagraphFont"/>
    <w:uiPriority w:val="99"/>
    <w:semiHidden/>
    <w:unhideWhenUsed/>
    <w:rsid w:val="004A6F71"/>
    <w:rPr>
      <w:color w:val="954F72" w:themeColor="followedHyperlink"/>
      <w:u w:val="single"/>
    </w:rPr>
  </w:style>
  <w:style w:type="paragraph" w:styleId="Bibliography">
    <w:name w:val="Bibliography"/>
    <w:basedOn w:val="Normal"/>
    <w:next w:val="Normal"/>
    <w:uiPriority w:val="8"/>
    <w:rsid w:val="004A6F71"/>
    <w:rPr>
      <w:sz w:val="20"/>
    </w:rPr>
  </w:style>
  <w:style w:type="table" w:styleId="PlainTable1">
    <w:name w:val="Plain Table 1"/>
    <w:aliases w:val="Title Page Table"/>
    <w:basedOn w:val="TableNormal"/>
    <w:uiPriority w:val="41"/>
    <w:rsid w:val="004A6F71"/>
    <w:pPr>
      <w:spacing w:before="120" w:after="120"/>
    </w:pPr>
    <w:rPr>
      <w:rFonts w:ascii="Arial" w:hAnsi="Arial"/>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itleTable">
    <w:name w:val="Title Table"/>
    <w:basedOn w:val="Title"/>
    <w:qFormat/>
    <w:rsid w:val="004A6F71"/>
    <w:pPr>
      <w:ind w:left="72" w:right="72"/>
    </w:pPr>
    <w:rPr>
      <w:sz w:val="22"/>
    </w:rPr>
  </w:style>
  <w:style w:type="paragraph" w:styleId="TOC1">
    <w:name w:val="toc 1"/>
    <w:basedOn w:val="Normal"/>
    <w:next w:val="Normal"/>
    <w:uiPriority w:val="39"/>
    <w:qFormat/>
    <w:rsid w:val="004A6F71"/>
    <w:pPr>
      <w:spacing w:after="0"/>
    </w:pPr>
    <w:rPr>
      <w:b/>
      <w:caps/>
      <w:sz w:val="20"/>
    </w:rPr>
  </w:style>
  <w:style w:type="paragraph" w:customStyle="1" w:styleId="In-TextTable">
    <w:name w:val="In-Text Table"/>
    <w:basedOn w:val="TitleTable"/>
    <w:uiPriority w:val="7"/>
    <w:qFormat/>
    <w:rsid w:val="004A6F71"/>
    <w:rPr>
      <w:b w:val="0"/>
    </w:rPr>
  </w:style>
  <w:style w:type="paragraph" w:styleId="NormalWeb">
    <w:name w:val="Normal (Web)"/>
    <w:basedOn w:val="Normal"/>
    <w:uiPriority w:val="99"/>
    <w:semiHidden/>
    <w:unhideWhenUsed/>
    <w:rsid w:val="004A6F71"/>
    <w:rPr>
      <w:rFonts w:ascii="Times New Roman" w:hAnsi="Times New Roman"/>
      <w:sz w:val="24"/>
    </w:rPr>
  </w:style>
  <w:style w:type="paragraph" w:customStyle="1" w:styleId="Hyperlinks">
    <w:name w:val="Hyperlinks"/>
    <w:basedOn w:val="Normal"/>
    <w:next w:val="Normal"/>
    <w:uiPriority w:val="10"/>
    <w:qFormat/>
    <w:rsid w:val="004A6F71"/>
    <w:rPr>
      <w:b/>
      <w:color w:val="000000" w:themeColor="text1"/>
      <w:u w:val="single"/>
    </w:rPr>
  </w:style>
  <w:style w:type="paragraph" w:customStyle="1" w:styleId="paragraph">
    <w:name w:val="paragraph"/>
    <w:basedOn w:val="Normal"/>
    <w:rsid w:val="00542876"/>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542876"/>
  </w:style>
  <w:style w:type="character" w:customStyle="1" w:styleId="eop">
    <w:name w:val="eop"/>
    <w:basedOn w:val="DefaultParagraphFont"/>
    <w:rsid w:val="00542876"/>
  </w:style>
  <w:style w:type="character" w:styleId="PlaceholderText">
    <w:name w:val="Placeholder Text"/>
    <w:basedOn w:val="DefaultParagraphFont"/>
    <w:uiPriority w:val="99"/>
    <w:semiHidden/>
    <w:rsid w:val="0053413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uillmen\AppData\Local\Microsoft\Windows\INetCache\Content.Outlook\CE07BG5V\Evolent%20CG%20Formatting%20Template_2024103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DCDateModified xmlns="http://schemas.microsoft.com/sharepoint/v3/fields" xsi:nil="true"/>
    <lcf76f155ced4ddcb4097134ff3c332f xmlns="dbca5ad8-319c-41c0-bb9f-0e1ee2ffda80">
      <Terms xmlns="http://schemas.microsoft.com/office/infopath/2007/PartnerControls"/>
    </lcf76f155ced4ddcb4097134ff3c332f>
    <TaxCatchAll xmlns="986947e6-4eb3-40fc-9d08-d744948f4281"/>
    <_ip_UnifiedCompliancePolicyProperties xmlns="http://schemas.microsoft.com/sharepoint/v3" xsi:nil="true"/>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3.xml><?xml version="1.0" encoding="utf-8"?>
<b:Sources xmlns:b="http://schemas.openxmlformats.org/officeDocument/2006/bibliography" xmlns="http://schemas.openxmlformats.org/officeDocument/2006/bibliography" SelectedStyle="\IEEE2006OfficeOnline.xsl" StyleName="IEEE" Version="2006"/>
</file>

<file path=customXml/item4.xml><?xml version="1.0" encoding="utf-8"?>
<ct:contentTypeSchema xmlns:ct="http://schemas.microsoft.com/office/2006/metadata/contentType" xmlns:ma="http://schemas.microsoft.com/office/2006/metadata/properties/metaAttributes" ct:_="" ma:_="" ma:contentTypeName="Document" ma:contentTypeID="0x010100B1677FCF767B9A4AAA1736DBCA98008E" ma:contentTypeVersion="34" ma:contentTypeDescription="Create a new document." ma:contentTypeScope="" ma:versionID="7111754db413a059746543472610670e">
  <xsd:schema xmlns:xsd="http://www.w3.org/2001/XMLSchema" xmlns:xs="http://www.w3.org/2001/XMLSchema" xmlns:p="http://schemas.microsoft.com/office/2006/metadata/properties" xmlns:ns1="http://schemas.microsoft.com/sharepoint/v3" xmlns:ns2="http://schemas.microsoft.com/sharepoint/v3/fields" xmlns:ns3="61c9334f-343a-47f4-9286-305b0e7c14bc" xmlns:ns4="986947e6-4eb3-40fc-9d08-d744948f4281" xmlns:ns5="dbca5ad8-319c-41c0-bb9f-0e1ee2ffda80" targetNamespace="http://schemas.microsoft.com/office/2006/metadata/properties" ma:root="true" ma:fieldsID="2259155be338f2f680f555941b83cc92" ns1:_="" ns2:_="" ns3:_="" ns4:_="" ns5:_="">
    <xsd:import namespace="http://schemas.microsoft.com/sharepoint/v3"/>
    <xsd:import namespace="http://schemas.microsoft.com/sharepoint/v3/fields"/>
    <xsd:import namespace="61c9334f-343a-47f4-9286-305b0e7c14bc"/>
    <xsd:import namespace="986947e6-4eb3-40fc-9d08-d744948f4281"/>
    <xsd:import namespace="dbca5ad8-319c-41c0-bb9f-0e1ee2ffda80"/>
    <xsd:element name="properties">
      <xsd:complexType>
        <xsd:sequence>
          <xsd:element name="documentManagement">
            <xsd:complexType>
              <xsd:all>
                <xsd:element ref="ns2:_DCDateCreated" minOccurs="0"/>
                <xsd:element ref="ns2:_DCDateModified" minOccurs="0"/>
                <xsd:element ref="ns3:SharedWithUsers" minOccurs="0"/>
                <xsd:element ref="ns4:SharingHintHash" minOccurs="0"/>
                <xsd:element ref="ns4:SharedWithDetails" minOccurs="0"/>
                <xsd:element ref="ns4:LastSharedByUser" minOccurs="0"/>
                <xsd:element ref="ns4:LastSharedByTime" minOccurs="0"/>
                <xsd:element ref="ns5:MediaServiceMetadata" minOccurs="0"/>
                <xsd:element ref="ns5:MediaServiceFastMetadata" minOccurs="0"/>
                <xsd:element ref="ns5:MediaServiceEventHashCode" minOccurs="0"/>
                <xsd:element ref="ns5:MediaServiceGenerationTime" minOccurs="0"/>
                <xsd:element ref="ns1:_ip_UnifiedCompliancePolicyProperties" minOccurs="0"/>
                <xsd:element ref="ns1:_ip_UnifiedCompliancePolicyUIAction" minOccurs="0"/>
                <xsd:element ref="ns5:MediaServiceAutoKeyPoints" minOccurs="0"/>
                <xsd:element ref="ns5:MediaServiceKeyPoints" minOccurs="0"/>
                <xsd:element ref="ns5:MediaServiceDateTaken" minOccurs="0"/>
                <xsd:element ref="ns1:PublishingStartDate" minOccurs="0"/>
                <xsd:element ref="ns1:PublishingExpirationDate" minOccurs="0"/>
                <xsd:element ref="ns5:MediaServiceAutoTags" minOccurs="0"/>
                <xsd:element ref="ns5:MediaServiceOCR" minOccurs="0"/>
                <xsd:element ref="ns5:MediaServiceObjectDetectorVersions" minOccurs="0"/>
                <xsd:element ref="ns5:lcf76f155ced4ddcb4097134ff3c332f" minOccurs="0"/>
                <xsd:element ref="ns4:TaxCatchAll"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element name="PublishingStartDate" ma:index="2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4" nillable="true" ma:displayName="Date Created" ma:description="The date on which this resource was created" ma:format="DateTime" ma:internalName="_DCDateCreated" ma:readOnly="false">
      <xsd:simpleType>
        <xsd:restriction base="dms:DateTime"/>
      </xsd:simpleType>
    </xsd:element>
    <xsd:element name="_DCDateModified" ma:index="5"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1c9334f-343a-47f4-9286-305b0e7c14bc"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6947e6-4eb3-40fc-9d08-d744948f4281" elementFormDefault="qualified">
    <xsd:import namespace="http://schemas.microsoft.com/office/2006/documentManagement/types"/>
    <xsd:import namespace="http://schemas.microsoft.com/office/infopath/2007/PartnerControls"/>
    <xsd:element name="SharingHintHash" ma:index="11" nillable="true" ma:displayName="Sharing Hint Hash" ma:internalName="SharingHintHash" ma:readOnly="true">
      <xsd:simpleType>
        <xsd:restriction base="dms:Text"/>
      </xsd:simple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description="" ma:internalName="LastSharedByUser" ma:readOnly="true">
      <xsd:simpleType>
        <xsd:restriction base="dms:Note">
          <xsd:maxLength value="255"/>
        </xsd:restriction>
      </xsd:simpleType>
    </xsd:element>
    <xsd:element name="LastSharedByTime" ma:index="14" nillable="true" ma:displayName="Last Shared By Time" ma:description="" ma:internalName="LastSharedByTime" ma:readOnly="true">
      <xsd:simpleType>
        <xsd:restriction base="dms:DateTime"/>
      </xsd:simpleType>
    </xsd:element>
    <xsd:element name="TaxCatchAll" ma:index="31" nillable="true" ma:displayName="Taxonomy Catch All Column" ma:hidden="true" ma:list="{d9062187-c902-428e-b265-65da98b0f6eb}" ma:internalName="TaxCatchAll" ma:showField="CatchAllData" ma:web="986947e6-4eb3-40fc-9d08-d744948f42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ca5ad8-319c-41c0-bb9f-0e1ee2ffda8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15f2962f-a71a-4882-aa95-04ef9da2e58a" ma:termSetId="09814cd3-568e-fe90-9814-8d621ff8fb84" ma:anchorId="fba54fb3-c3e1-fe81-a776-ca4b69148c4d" ma:open="true" ma:isKeyword="false">
      <xsd:complexType>
        <xsd:sequence>
          <xsd:element ref="pc:Terms" minOccurs="0" maxOccurs="1"/>
        </xsd:sequence>
      </xsd:complex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B21BCF-D57F-4099-8BD4-6334EDCC41BB}">
  <ds:schemaRefs>
    <ds:schemaRef ds:uri="http://schemas.microsoft.com/sharepoint/v3/contenttype/forms"/>
  </ds:schemaRefs>
</ds:datastoreItem>
</file>

<file path=customXml/itemProps2.xml><?xml version="1.0" encoding="utf-8"?>
<ds:datastoreItem xmlns:ds="http://schemas.openxmlformats.org/officeDocument/2006/customXml" ds:itemID="{09EF81E3-1B2A-4D69-9D03-2939496F8CA7}">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dbca5ad8-319c-41c0-bb9f-0e1ee2ffda80"/>
    <ds:schemaRef ds:uri="986947e6-4eb3-40fc-9d08-d744948f4281"/>
  </ds:schemaRefs>
</ds:datastoreItem>
</file>

<file path=customXml/itemProps3.xml><?xml version="1.0" encoding="utf-8"?>
<ds:datastoreItem xmlns:ds="http://schemas.openxmlformats.org/officeDocument/2006/customXml" ds:itemID="{BABE892C-123B-43EB-B79C-0CA05D886395}">
  <ds:schemaRefs>
    <ds:schemaRef ds:uri="http://schemas.openxmlformats.org/officeDocument/2006/bibliography"/>
  </ds:schemaRefs>
</ds:datastoreItem>
</file>

<file path=customXml/itemProps4.xml><?xml version="1.0" encoding="utf-8"?>
<ds:datastoreItem xmlns:ds="http://schemas.openxmlformats.org/officeDocument/2006/customXml" ds:itemID="{ACF8DBAD-7603-425E-BC9D-BBB36D70E1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61c9334f-343a-47f4-9286-305b0e7c14bc"/>
    <ds:schemaRef ds:uri="986947e6-4eb3-40fc-9d08-d744948f4281"/>
    <ds:schemaRef ds:uri="dbca5ad8-319c-41c0-bb9f-0e1ee2ffd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9bcf059-afa8-4bf9-8470-fad0c9cce27d}" enabled="0" method="" siteId="{49bcf059-afa8-4bf9-8470-fad0c9cce27d}" removed="1"/>
</clbl:labelList>
</file>

<file path=docProps/app.xml><?xml version="1.0" encoding="utf-8"?>
<Properties xmlns="http://schemas.openxmlformats.org/officeDocument/2006/extended-properties" xmlns:vt="http://schemas.openxmlformats.org/officeDocument/2006/docPropsVTypes">
  <Template>Evolent CG Formatting Template_20241030</Template>
  <TotalTime>3</TotalTime>
  <Pages>7</Pages>
  <Words>1511</Words>
  <Characters>8617</Characters>
  <Application>Microsoft Office Word</Application>
  <DocSecurity>4</DocSecurity>
  <Lines>71</Lines>
  <Paragraphs>20</Paragraphs>
  <ScaleCrop>false</ScaleCrop>
  <Company/>
  <LinksUpToDate>false</LinksUpToDate>
  <CharactersWithSpaces>10108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Ashleigh Cheek</cp:lastModifiedBy>
  <cp:revision>2</cp:revision>
  <cp:lastPrinted>2026-03-09T19:07:00Z</cp:lastPrinted>
  <dcterms:created xsi:type="dcterms:W3CDTF">2026-06-02T03:53:00Z</dcterms:created>
  <dcterms:modified xsi:type="dcterms:W3CDTF">2026-06-02T03:53:00Z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0x010100B1677FCF767B9A4AAA1736DBCA98008E</vt:lpwstr>
  </property>
  <property fmtid="{D5CDD505-2E9C-101B-9397-08002B2CF9AE}" pid="3" name="MediaServiceImageTags">
    <vt:lpwstr/>
  </property>
  <property fmtid="{D5CDD505-2E9C-101B-9397-08002B2CF9AE}" pid="4" name="Order">
    <vt:r8>13007600</vt:r8>
  </property>
  <property fmtid="{D5CDD505-2E9C-101B-9397-08002B2CF9AE}" pid="5" name="xd_Signature">
    <vt:bool>false</vt:bool>
  </property>
  <property fmtid="{D5CDD505-2E9C-101B-9397-08002B2CF9AE}" pid="6" name="xd_ProgID">
    <vt:lpwstr/>
  </property>
  <property fmtid="{D5CDD505-2E9C-101B-9397-08002B2CF9AE}" pid="7" name="MedicalPolicyNumber">
    <vt:lpwstr>ECG_5093.CC</vt:lpwstr>
  </property>
  <property fmtid="{D5CDD505-2E9C-101B-9397-08002B2CF9AE}" pid="8" name="TemplateUrl">
    <vt:lpwstr/>
  </property>
  <property fmtid="{D5CDD505-2E9C-101B-9397-08002B2CF9AE}" pid="9" name="ComplianceAssetId">
    <vt:lpwstr/>
  </property>
  <property fmtid="{D5CDD505-2E9C-101B-9397-08002B2CF9AE}" pid="10" name="_ExtendedDescription">
    <vt:lpwstr/>
  </property>
  <property fmtid="{D5CDD505-2E9C-101B-9397-08002B2CF9AE}" pid="11" name="LastReviewDate">
    <vt:lpwstr>10/2025</vt:lpwstr>
  </property>
  <property fmtid="{D5CDD505-2E9C-101B-9397-08002B2CF9AE}" pid="12" name="TriggerFlowInfo">
    <vt:lpwstr/>
  </property>
  <property fmtid="{D5CDD505-2E9C-101B-9397-08002B2CF9AE}" pid="13" name="ShortenedName">
    <vt:lpwstr>Casgevy</vt:lpwstr>
  </property>
</Properties>
</file>