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354FCC6B" w:rsidR="00E768E6" w:rsidRDefault="00B21AF9" w:rsidP="00A03DEC">
      <w:pPr>
        <w:pStyle w:val="Title"/>
      </w:pPr>
      <w:r>
        <w:t>E</w:t>
      </w:r>
      <w:r w:rsidR="21CF55F4">
        <w:t>VH</w:t>
      </w:r>
      <w:r>
        <w:t xml:space="preserve"> Clinical Guideline </w:t>
      </w:r>
      <w:r w:rsidR="00980902">
        <w:t>5095</w:t>
      </w:r>
      <w:r w:rsidR="005F7F01">
        <w:t>.CC</w:t>
      </w:r>
      <w:r>
        <w:t xml:space="preserve"> for </w:t>
      </w:r>
      <w:r w:rsidR="007216DC">
        <w:t>Q</w:t>
      </w:r>
      <w:r w:rsidR="00A5189B">
        <w:t>ALSODY</w:t>
      </w:r>
      <w:r w:rsidR="007216DC">
        <w:t xml:space="preserve"> (</w:t>
      </w:r>
      <w:proofErr w:type="spellStart"/>
      <w:r w:rsidR="007216DC">
        <w:t>tofersen</w:t>
      </w:r>
      <w:proofErr w:type="spellEnd"/>
      <w:r w:rsidR="007216D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6A011CE5"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3130FC">
              <w:rPr>
                <w:b w:val="0"/>
                <w:bCs/>
              </w:rPr>
              <w:t>5095</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46B8BE79" w:rsidR="00E768E6" w:rsidRDefault="00B21AF9" w:rsidP="006F2FF7">
            <w:pPr>
              <w:pStyle w:val="TitleTable"/>
            </w:pPr>
            <w:r>
              <w:rPr>
                <w:i/>
                <w:iCs/>
              </w:rPr>
              <w:t>© 202</w:t>
            </w:r>
            <w:r w:rsidR="00EF3288">
              <w:rPr>
                <w:i/>
                <w:iCs/>
              </w:rPr>
              <w:t>4</w:t>
            </w:r>
            <w:r w:rsidR="00B64842">
              <w:rPr>
                <w:i/>
                <w:iCs/>
              </w:rPr>
              <w:t xml:space="preserve"> </w:t>
            </w:r>
            <w:r w:rsidR="002B4658">
              <w:rPr>
                <w:i/>
                <w:iCs/>
              </w:rPr>
              <w:t>-</w:t>
            </w:r>
            <w:r w:rsidR="00B64842">
              <w:rPr>
                <w:i/>
                <w:iCs/>
              </w:rPr>
              <w:t xml:space="preserve"> 202</w:t>
            </w:r>
            <w:r w:rsidR="00EF3288">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7CCD44C3" w:rsidR="00E768E6" w:rsidRPr="006F2FF7" w:rsidRDefault="00DA654D" w:rsidP="006F2FF7">
            <w:pPr>
              <w:pStyle w:val="TitleTable"/>
              <w:rPr>
                <w:b w:val="0"/>
                <w:bCs/>
              </w:rPr>
            </w:pPr>
            <w:r>
              <w:rPr>
                <w:b w:val="0"/>
                <w:bCs/>
              </w:rPr>
              <w:t>April 2024</w:t>
            </w:r>
          </w:p>
        </w:tc>
        <w:tc>
          <w:tcPr>
            <w:tcW w:w="1686" w:type="pct"/>
          </w:tcPr>
          <w:p w14:paraId="50F6E751" w14:textId="77777777" w:rsidR="00E768E6" w:rsidRDefault="00B21AF9" w:rsidP="006F2FF7">
            <w:pPr>
              <w:pStyle w:val="TitleTable"/>
            </w:pPr>
            <w:r>
              <w:t>Last Revised Date:</w:t>
            </w:r>
          </w:p>
          <w:p w14:paraId="50F6E752" w14:textId="79E2CFFB" w:rsidR="00E768E6" w:rsidRPr="006F2FF7" w:rsidRDefault="003F0BE6" w:rsidP="006F2FF7">
            <w:pPr>
              <w:pStyle w:val="TitleTable"/>
              <w:rPr>
                <w:b w:val="0"/>
                <w:bCs/>
              </w:rPr>
            </w:pPr>
            <w:r>
              <w:rPr>
                <w:b w:val="0"/>
                <w:bCs/>
              </w:rPr>
              <w:t>March 2026</w:t>
            </w:r>
          </w:p>
        </w:tc>
        <w:tc>
          <w:tcPr>
            <w:tcW w:w="1459" w:type="pct"/>
          </w:tcPr>
          <w:p w14:paraId="50F6E753" w14:textId="77777777" w:rsidR="00E768E6" w:rsidRDefault="00B21AF9" w:rsidP="006F2FF7">
            <w:pPr>
              <w:pStyle w:val="TitleTable"/>
            </w:pPr>
            <w:r>
              <w:t>Implementation Date:</w:t>
            </w:r>
          </w:p>
          <w:p w14:paraId="50F6E754" w14:textId="3CC5AE16" w:rsidR="00E768E6" w:rsidRPr="006F2FF7" w:rsidRDefault="0098776A" w:rsidP="006F2FF7">
            <w:pPr>
              <w:pStyle w:val="TitleTable"/>
              <w:rPr>
                <w:b w:val="0"/>
                <w:bCs/>
              </w:rPr>
            </w:pPr>
            <w:r>
              <w:rPr>
                <w:b w:val="0"/>
                <w:bCs/>
              </w:rPr>
              <w:t xml:space="preserve">June </w:t>
            </w:r>
            <w:r w:rsidR="003F0BE6">
              <w:rPr>
                <w:b w:val="0"/>
                <w:bCs/>
              </w:rPr>
              <w:t>2026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371AAB2B" w14:textId="3939F8AC" w:rsidR="00733DE5"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1357993" w:history="1">
            <w:r w:rsidR="00733DE5" w:rsidRPr="00D57E1D">
              <w:rPr>
                <w:rStyle w:val="Hyperlink"/>
                <w:noProof/>
              </w:rPr>
              <w:t>Statement</w:t>
            </w:r>
            <w:r w:rsidR="00733DE5">
              <w:rPr>
                <w:noProof/>
                <w:webHidden/>
              </w:rPr>
              <w:tab/>
            </w:r>
            <w:r w:rsidR="00733DE5">
              <w:rPr>
                <w:noProof/>
                <w:webHidden/>
              </w:rPr>
              <w:fldChar w:fldCharType="begin"/>
            </w:r>
            <w:r w:rsidR="00733DE5">
              <w:rPr>
                <w:noProof/>
                <w:webHidden/>
              </w:rPr>
              <w:instrText xml:space="preserve"> PAGEREF _Toc221357993 \h </w:instrText>
            </w:r>
            <w:r w:rsidR="00733DE5">
              <w:rPr>
                <w:noProof/>
                <w:webHidden/>
              </w:rPr>
            </w:r>
            <w:r w:rsidR="00733DE5">
              <w:rPr>
                <w:noProof/>
                <w:webHidden/>
              </w:rPr>
              <w:fldChar w:fldCharType="separate"/>
            </w:r>
            <w:r w:rsidR="00F61312">
              <w:rPr>
                <w:noProof/>
                <w:webHidden/>
              </w:rPr>
              <w:t>2</w:t>
            </w:r>
            <w:r w:rsidR="00733DE5">
              <w:rPr>
                <w:noProof/>
                <w:webHidden/>
              </w:rPr>
              <w:fldChar w:fldCharType="end"/>
            </w:r>
          </w:hyperlink>
        </w:p>
        <w:p w14:paraId="152562F8" w14:textId="4FDADF05"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7994" w:history="1">
            <w:r w:rsidRPr="00D57E1D">
              <w:rPr>
                <w:rStyle w:val="Hyperlink"/>
                <w:noProof/>
              </w:rPr>
              <w:t>General Information</w:t>
            </w:r>
            <w:r>
              <w:rPr>
                <w:noProof/>
                <w:webHidden/>
              </w:rPr>
              <w:tab/>
            </w:r>
            <w:r>
              <w:rPr>
                <w:noProof/>
                <w:webHidden/>
              </w:rPr>
              <w:fldChar w:fldCharType="begin"/>
            </w:r>
            <w:r>
              <w:rPr>
                <w:noProof/>
                <w:webHidden/>
              </w:rPr>
              <w:instrText xml:space="preserve"> PAGEREF _Toc221357994 \h </w:instrText>
            </w:r>
            <w:r>
              <w:rPr>
                <w:noProof/>
                <w:webHidden/>
              </w:rPr>
            </w:r>
            <w:r>
              <w:rPr>
                <w:noProof/>
                <w:webHidden/>
              </w:rPr>
              <w:fldChar w:fldCharType="separate"/>
            </w:r>
            <w:r w:rsidR="00F61312">
              <w:rPr>
                <w:noProof/>
                <w:webHidden/>
              </w:rPr>
              <w:t>2</w:t>
            </w:r>
            <w:r>
              <w:rPr>
                <w:noProof/>
                <w:webHidden/>
              </w:rPr>
              <w:fldChar w:fldCharType="end"/>
            </w:r>
          </w:hyperlink>
        </w:p>
        <w:p w14:paraId="56528F78" w14:textId="1FF4F770"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7995" w:history="1">
            <w:r w:rsidRPr="00D57E1D">
              <w:rPr>
                <w:rStyle w:val="Hyperlink"/>
                <w:noProof/>
              </w:rPr>
              <w:t>Purpose</w:t>
            </w:r>
            <w:r>
              <w:rPr>
                <w:noProof/>
                <w:webHidden/>
              </w:rPr>
              <w:tab/>
            </w:r>
            <w:r>
              <w:rPr>
                <w:noProof/>
                <w:webHidden/>
              </w:rPr>
              <w:fldChar w:fldCharType="begin"/>
            </w:r>
            <w:r>
              <w:rPr>
                <w:noProof/>
                <w:webHidden/>
              </w:rPr>
              <w:instrText xml:space="preserve"> PAGEREF _Toc221357995 \h </w:instrText>
            </w:r>
            <w:r>
              <w:rPr>
                <w:noProof/>
                <w:webHidden/>
              </w:rPr>
            </w:r>
            <w:r>
              <w:rPr>
                <w:noProof/>
                <w:webHidden/>
              </w:rPr>
              <w:fldChar w:fldCharType="separate"/>
            </w:r>
            <w:r w:rsidR="00F61312">
              <w:rPr>
                <w:noProof/>
                <w:webHidden/>
              </w:rPr>
              <w:t>2</w:t>
            </w:r>
            <w:r>
              <w:rPr>
                <w:noProof/>
                <w:webHidden/>
              </w:rPr>
              <w:fldChar w:fldCharType="end"/>
            </w:r>
          </w:hyperlink>
        </w:p>
        <w:p w14:paraId="3856E475" w14:textId="0FC83919"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7996" w:history="1">
            <w:r w:rsidRPr="00D57E1D">
              <w:rPr>
                <w:rStyle w:val="Hyperlink"/>
                <w:noProof/>
              </w:rPr>
              <w:t>Scope</w:t>
            </w:r>
            <w:r>
              <w:rPr>
                <w:noProof/>
                <w:webHidden/>
              </w:rPr>
              <w:tab/>
            </w:r>
            <w:r>
              <w:rPr>
                <w:noProof/>
                <w:webHidden/>
              </w:rPr>
              <w:fldChar w:fldCharType="begin"/>
            </w:r>
            <w:r>
              <w:rPr>
                <w:noProof/>
                <w:webHidden/>
              </w:rPr>
              <w:instrText xml:space="preserve"> PAGEREF _Toc221357996 \h </w:instrText>
            </w:r>
            <w:r>
              <w:rPr>
                <w:noProof/>
                <w:webHidden/>
              </w:rPr>
            </w:r>
            <w:r>
              <w:rPr>
                <w:noProof/>
                <w:webHidden/>
              </w:rPr>
              <w:fldChar w:fldCharType="separate"/>
            </w:r>
            <w:r w:rsidR="00F61312">
              <w:rPr>
                <w:noProof/>
                <w:webHidden/>
              </w:rPr>
              <w:t>2</w:t>
            </w:r>
            <w:r>
              <w:rPr>
                <w:noProof/>
                <w:webHidden/>
              </w:rPr>
              <w:fldChar w:fldCharType="end"/>
            </w:r>
          </w:hyperlink>
        </w:p>
        <w:p w14:paraId="78872BA0" w14:textId="1E0F4D99"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7997" w:history="1">
            <w:r w:rsidRPr="00D57E1D">
              <w:rPr>
                <w:rStyle w:val="Hyperlink"/>
                <w:noProof/>
              </w:rPr>
              <w:t>INITIAL REVIEW CRITERIA</w:t>
            </w:r>
            <w:r>
              <w:rPr>
                <w:noProof/>
                <w:webHidden/>
              </w:rPr>
              <w:tab/>
            </w:r>
            <w:r>
              <w:rPr>
                <w:noProof/>
                <w:webHidden/>
              </w:rPr>
              <w:fldChar w:fldCharType="begin"/>
            </w:r>
            <w:r>
              <w:rPr>
                <w:noProof/>
                <w:webHidden/>
              </w:rPr>
              <w:instrText xml:space="preserve"> PAGEREF _Toc221357997 \h </w:instrText>
            </w:r>
            <w:r>
              <w:rPr>
                <w:noProof/>
                <w:webHidden/>
              </w:rPr>
            </w:r>
            <w:r>
              <w:rPr>
                <w:noProof/>
                <w:webHidden/>
              </w:rPr>
              <w:fldChar w:fldCharType="separate"/>
            </w:r>
            <w:r w:rsidR="00F61312">
              <w:rPr>
                <w:noProof/>
                <w:webHidden/>
              </w:rPr>
              <w:t>2</w:t>
            </w:r>
            <w:r>
              <w:rPr>
                <w:noProof/>
                <w:webHidden/>
              </w:rPr>
              <w:fldChar w:fldCharType="end"/>
            </w:r>
          </w:hyperlink>
        </w:p>
        <w:p w14:paraId="74A19222" w14:textId="1C6684BB"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7998" w:history="1">
            <w:r w:rsidRPr="00D57E1D">
              <w:rPr>
                <w:rStyle w:val="Hyperlink"/>
                <w:noProof/>
              </w:rPr>
              <w:t>Reauthorization Criteria</w:t>
            </w:r>
            <w:r>
              <w:rPr>
                <w:noProof/>
                <w:webHidden/>
              </w:rPr>
              <w:tab/>
            </w:r>
            <w:r>
              <w:rPr>
                <w:noProof/>
                <w:webHidden/>
              </w:rPr>
              <w:fldChar w:fldCharType="begin"/>
            </w:r>
            <w:r>
              <w:rPr>
                <w:noProof/>
                <w:webHidden/>
              </w:rPr>
              <w:instrText xml:space="preserve"> PAGEREF _Toc221357998 \h </w:instrText>
            </w:r>
            <w:r>
              <w:rPr>
                <w:noProof/>
                <w:webHidden/>
              </w:rPr>
            </w:r>
            <w:r>
              <w:rPr>
                <w:noProof/>
                <w:webHidden/>
              </w:rPr>
              <w:fldChar w:fldCharType="separate"/>
            </w:r>
            <w:r w:rsidR="00F61312">
              <w:rPr>
                <w:noProof/>
                <w:webHidden/>
              </w:rPr>
              <w:t>2</w:t>
            </w:r>
            <w:r>
              <w:rPr>
                <w:noProof/>
                <w:webHidden/>
              </w:rPr>
              <w:fldChar w:fldCharType="end"/>
            </w:r>
          </w:hyperlink>
        </w:p>
        <w:p w14:paraId="757009AD" w14:textId="0096958C"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7999" w:history="1">
            <w:r w:rsidRPr="00D57E1D">
              <w:rPr>
                <w:rStyle w:val="Hyperlink"/>
                <w:noProof/>
              </w:rPr>
              <w:t>Approval Durations</w:t>
            </w:r>
            <w:r>
              <w:rPr>
                <w:noProof/>
                <w:webHidden/>
              </w:rPr>
              <w:tab/>
            </w:r>
            <w:r>
              <w:rPr>
                <w:noProof/>
                <w:webHidden/>
              </w:rPr>
              <w:fldChar w:fldCharType="begin"/>
            </w:r>
            <w:r>
              <w:rPr>
                <w:noProof/>
                <w:webHidden/>
              </w:rPr>
              <w:instrText xml:space="preserve"> PAGEREF _Toc221357999 \h </w:instrText>
            </w:r>
            <w:r>
              <w:rPr>
                <w:noProof/>
                <w:webHidden/>
              </w:rPr>
            </w:r>
            <w:r>
              <w:rPr>
                <w:noProof/>
                <w:webHidden/>
              </w:rPr>
              <w:fldChar w:fldCharType="separate"/>
            </w:r>
            <w:r w:rsidR="00F61312">
              <w:rPr>
                <w:noProof/>
                <w:webHidden/>
              </w:rPr>
              <w:t>3</w:t>
            </w:r>
            <w:r>
              <w:rPr>
                <w:noProof/>
                <w:webHidden/>
              </w:rPr>
              <w:fldChar w:fldCharType="end"/>
            </w:r>
          </w:hyperlink>
        </w:p>
        <w:p w14:paraId="66301E44" w14:textId="43BF03E8"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8000" w:history="1">
            <w:r w:rsidRPr="00D57E1D">
              <w:rPr>
                <w:rStyle w:val="Hyperlink"/>
                <w:noProof/>
              </w:rPr>
              <w:t>Coding and Standards</w:t>
            </w:r>
            <w:r>
              <w:rPr>
                <w:noProof/>
                <w:webHidden/>
              </w:rPr>
              <w:tab/>
            </w:r>
            <w:r>
              <w:rPr>
                <w:noProof/>
                <w:webHidden/>
              </w:rPr>
              <w:fldChar w:fldCharType="begin"/>
            </w:r>
            <w:r>
              <w:rPr>
                <w:noProof/>
                <w:webHidden/>
              </w:rPr>
              <w:instrText xml:space="preserve"> PAGEREF _Toc221358000 \h </w:instrText>
            </w:r>
            <w:r>
              <w:rPr>
                <w:noProof/>
                <w:webHidden/>
              </w:rPr>
            </w:r>
            <w:r>
              <w:rPr>
                <w:noProof/>
                <w:webHidden/>
              </w:rPr>
              <w:fldChar w:fldCharType="separate"/>
            </w:r>
            <w:r w:rsidR="00F61312">
              <w:rPr>
                <w:noProof/>
                <w:webHidden/>
              </w:rPr>
              <w:t>3</w:t>
            </w:r>
            <w:r>
              <w:rPr>
                <w:noProof/>
                <w:webHidden/>
              </w:rPr>
              <w:fldChar w:fldCharType="end"/>
            </w:r>
          </w:hyperlink>
        </w:p>
        <w:p w14:paraId="5F06109C" w14:textId="7FC46AAC"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8001" w:history="1">
            <w:r w:rsidRPr="00D57E1D">
              <w:rPr>
                <w:rStyle w:val="Hyperlink"/>
                <w:noProof/>
              </w:rPr>
              <w:t>Codes</w:t>
            </w:r>
            <w:r>
              <w:rPr>
                <w:noProof/>
                <w:webHidden/>
              </w:rPr>
              <w:tab/>
            </w:r>
            <w:r>
              <w:rPr>
                <w:noProof/>
                <w:webHidden/>
              </w:rPr>
              <w:fldChar w:fldCharType="begin"/>
            </w:r>
            <w:r>
              <w:rPr>
                <w:noProof/>
                <w:webHidden/>
              </w:rPr>
              <w:instrText xml:space="preserve"> PAGEREF _Toc221358001 \h </w:instrText>
            </w:r>
            <w:r>
              <w:rPr>
                <w:noProof/>
                <w:webHidden/>
              </w:rPr>
            </w:r>
            <w:r>
              <w:rPr>
                <w:noProof/>
                <w:webHidden/>
              </w:rPr>
              <w:fldChar w:fldCharType="separate"/>
            </w:r>
            <w:r w:rsidR="00F61312">
              <w:rPr>
                <w:noProof/>
                <w:webHidden/>
              </w:rPr>
              <w:t>3</w:t>
            </w:r>
            <w:r>
              <w:rPr>
                <w:noProof/>
                <w:webHidden/>
              </w:rPr>
              <w:fldChar w:fldCharType="end"/>
            </w:r>
          </w:hyperlink>
        </w:p>
        <w:p w14:paraId="06B81ED2" w14:textId="244B0BFA"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8002" w:history="1">
            <w:r w:rsidRPr="00D57E1D">
              <w:rPr>
                <w:rStyle w:val="Hyperlink"/>
                <w:noProof/>
              </w:rPr>
              <w:t>Applicable Lines of Business</w:t>
            </w:r>
            <w:r>
              <w:rPr>
                <w:noProof/>
                <w:webHidden/>
              </w:rPr>
              <w:tab/>
            </w:r>
            <w:r>
              <w:rPr>
                <w:noProof/>
                <w:webHidden/>
              </w:rPr>
              <w:fldChar w:fldCharType="begin"/>
            </w:r>
            <w:r>
              <w:rPr>
                <w:noProof/>
                <w:webHidden/>
              </w:rPr>
              <w:instrText xml:space="preserve"> PAGEREF _Toc221358002 \h </w:instrText>
            </w:r>
            <w:r>
              <w:rPr>
                <w:noProof/>
                <w:webHidden/>
              </w:rPr>
            </w:r>
            <w:r>
              <w:rPr>
                <w:noProof/>
                <w:webHidden/>
              </w:rPr>
              <w:fldChar w:fldCharType="separate"/>
            </w:r>
            <w:r w:rsidR="00F61312">
              <w:rPr>
                <w:noProof/>
                <w:webHidden/>
              </w:rPr>
              <w:t>3</w:t>
            </w:r>
            <w:r>
              <w:rPr>
                <w:noProof/>
                <w:webHidden/>
              </w:rPr>
              <w:fldChar w:fldCharType="end"/>
            </w:r>
          </w:hyperlink>
        </w:p>
        <w:p w14:paraId="60831236" w14:textId="0E18C66D"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8003" w:history="1">
            <w:r w:rsidRPr="00D57E1D">
              <w:rPr>
                <w:rStyle w:val="Hyperlink"/>
                <w:noProof/>
              </w:rPr>
              <w:t>Background</w:t>
            </w:r>
            <w:r>
              <w:rPr>
                <w:noProof/>
                <w:webHidden/>
              </w:rPr>
              <w:tab/>
            </w:r>
            <w:r>
              <w:rPr>
                <w:noProof/>
                <w:webHidden/>
              </w:rPr>
              <w:fldChar w:fldCharType="begin"/>
            </w:r>
            <w:r>
              <w:rPr>
                <w:noProof/>
                <w:webHidden/>
              </w:rPr>
              <w:instrText xml:space="preserve"> PAGEREF _Toc221358003 \h </w:instrText>
            </w:r>
            <w:r>
              <w:rPr>
                <w:noProof/>
                <w:webHidden/>
              </w:rPr>
            </w:r>
            <w:r>
              <w:rPr>
                <w:noProof/>
                <w:webHidden/>
              </w:rPr>
              <w:fldChar w:fldCharType="separate"/>
            </w:r>
            <w:r w:rsidR="00F61312">
              <w:rPr>
                <w:noProof/>
                <w:webHidden/>
              </w:rPr>
              <w:t>3</w:t>
            </w:r>
            <w:r>
              <w:rPr>
                <w:noProof/>
                <w:webHidden/>
              </w:rPr>
              <w:fldChar w:fldCharType="end"/>
            </w:r>
          </w:hyperlink>
        </w:p>
        <w:p w14:paraId="1F5E9D1A" w14:textId="5914EB43"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8004" w:history="1">
            <w:r w:rsidRPr="00D57E1D">
              <w:rPr>
                <w:rStyle w:val="Hyperlink"/>
                <w:noProof/>
              </w:rPr>
              <w:t>Policy History</w:t>
            </w:r>
            <w:r>
              <w:rPr>
                <w:noProof/>
                <w:webHidden/>
              </w:rPr>
              <w:tab/>
            </w:r>
            <w:r>
              <w:rPr>
                <w:noProof/>
                <w:webHidden/>
              </w:rPr>
              <w:fldChar w:fldCharType="begin"/>
            </w:r>
            <w:r>
              <w:rPr>
                <w:noProof/>
                <w:webHidden/>
              </w:rPr>
              <w:instrText xml:space="preserve"> PAGEREF _Toc221358004 \h </w:instrText>
            </w:r>
            <w:r>
              <w:rPr>
                <w:noProof/>
                <w:webHidden/>
              </w:rPr>
            </w:r>
            <w:r>
              <w:rPr>
                <w:noProof/>
                <w:webHidden/>
              </w:rPr>
              <w:fldChar w:fldCharType="separate"/>
            </w:r>
            <w:r w:rsidR="00F61312">
              <w:rPr>
                <w:noProof/>
                <w:webHidden/>
              </w:rPr>
              <w:t>4</w:t>
            </w:r>
            <w:r>
              <w:rPr>
                <w:noProof/>
                <w:webHidden/>
              </w:rPr>
              <w:fldChar w:fldCharType="end"/>
            </w:r>
          </w:hyperlink>
        </w:p>
        <w:p w14:paraId="0BBDAF1D" w14:textId="14441E0D"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8005" w:history="1">
            <w:r w:rsidRPr="00D57E1D">
              <w:rPr>
                <w:rStyle w:val="Hyperlink"/>
                <w:noProof/>
              </w:rPr>
              <w:t>Legal and Compliance</w:t>
            </w:r>
            <w:r>
              <w:rPr>
                <w:noProof/>
                <w:webHidden/>
              </w:rPr>
              <w:tab/>
            </w:r>
            <w:r>
              <w:rPr>
                <w:noProof/>
                <w:webHidden/>
              </w:rPr>
              <w:fldChar w:fldCharType="begin"/>
            </w:r>
            <w:r>
              <w:rPr>
                <w:noProof/>
                <w:webHidden/>
              </w:rPr>
              <w:instrText xml:space="preserve"> PAGEREF _Toc221358005 \h </w:instrText>
            </w:r>
            <w:r>
              <w:rPr>
                <w:noProof/>
                <w:webHidden/>
              </w:rPr>
            </w:r>
            <w:r>
              <w:rPr>
                <w:noProof/>
                <w:webHidden/>
              </w:rPr>
              <w:fldChar w:fldCharType="separate"/>
            </w:r>
            <w:r w:rsidR="00F61312">
              <w:rPr>
                <w:noProof/>
                <w:webHidden/>
              </w:rPr>
              <w:t>4</w:t>
            </w:r>
            <w:r>
              <w:rPr>
                <w:noProof/>
                <w:webHidden/>
              </w:rPr>
              <w:fldChar w:fldCharType="end"/>
            </w:r>
          </w:hyperlink>
        </w:p>
        <w:p w14:paraId="06F395A6" w14:textId="358925B6"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8006" w:history="1">
            <w:r w:rsidRPr="00D57E1D">
              <w:rPr>
                <w:rStyle w:val="Hyperlink"/>
                <w:noProof/>
              </w:rPr>
              <w:t>Guideline Approval</w:t>
            </w:r>
            <w:r>
              <w:rPr>
                <w:noProof/>
                <w:webHidden/>
              </w:rPr>
              <w:tab/>
            </w:r>
            <w:r>
              <w:rPr>
                <w:noProof/>
                <w:webHidden/>
              </w:rPr>
              <w:fldChar w:fldCharType="begin"/>
            </w:r>
            <w:r>
              <w:rPr>
                <w:noProof/>
                <w:webHidden/>
              </w:rPr>
              <w:instrText xml:space="preserve"> PAGEREF _Toc221358006 \h </w:instrText>
            </w:r>
            <w:r>
              <w:rPr>
                <w:noProof/>
                <w:webHidden/>
              </w:rPr>
            </w:r>
            <w:r>
              <w:rPr>
                <w:noProof/>
                <w:webHidden/>
              </w:rPr>
              <w:fldChar w:fldCharType="separate"/>
            </w:r>
            <w:r w:rsidR="00F61312">
              <w:rPr>
                <w:noProof/>
                <w:webHidden/>
              </w:rPr>
              <w:t>4</w:t>
            </w:r>
            <w:r>
              <w:rPr>
                <w:noProof/>
                <w:webHidden/>
              </w:rPr>
              <w:fldChar w:fldCharType="end"/>
            </w:r>
          </w:hyperlink>
        </w:p>
        <w:p w14:paraId="49C0B7ED" w14:textId="51919659" w:rsidR="00733DE5" w:rsidRDefault="00733DE5">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1358007" w:history="1">
            <w:r w:rsidRPr="00D57E1D">
              <w:rPr>
                <w:rStyle w:val="Hyperlink"/>
                <w:noProof/>
              </w:rPr>
              <w:t>Committee</w:t>
            </w:r>
            <w:r>
              <w:rPr>
                <w:noProof/>
                <w:webHidden/>
              </w:rPr>
              <w:tab/>
            </w:r>
            <w:r>
              <w:rPr>
                <w:noProof/>
                <w:webHidden/>
              </w:rPr>
              <w:fldChar w:fldCharType="begin"/>
            </w:r>
            <w:r>
              <w:rPr>
                <w:noProof/>
                <w:webHidden/>
              </w:rPr>
              <w:instrText xml:space="preserve"> PAGEREF _Toc221358007 \h </w:instrText>
            </w:r>
            <w:r>
              <w:rPr>
                <w:noProof/>
                <w:webHidden/>
              </w:rPr>
            </w:r>
            <w:r>
              <w:rPr>
                <w:noProof/>
                <w:webHidden/>
              </w:rPr>
              <w:fldChar w:fldCharType="separate"/>
            </w:r>
            <w:r w:rsidR="00F61312">
              <w:rPr>
                <w:noProof/>
                <w:webHidden/>
              </w:rPr>
              <w:t>4</w:t>
            </w:r>
            <w:r>
              <w:rPr>
                <w:noProof/>
                <w:webHidden/>
              </w:rPr>
              <w:fldChar w:fldCharType="end"/>
            </w:r>
          </w:hyperlink>
        </w:p>
        <w:p w14:paraId="015CE8E7" w14:textId="48141C09" w:rsidR="00733DE5" w:rsidRDefault="00733DE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1358008" w:history="1">
            <w:r w:rsidRPr="00D57E1D">
              <w:rPr>
                <w:rStyle w:val="Hyperlink"/>
                <w:noProof/>
              </w:rPr>
              <w:t>Disclaimer</w:t>
            </w:r>
            <w:r>
              <w:rPr>
                <w:noProof/>
                <w:webHidden/>
              </w:rPr>
              <w:tab/>
            </w:r>
            <w:r>
              <w:rPr>
                <w:noProof/>
                <w:webHidden/>
              </w:rPr>
              <w:fldChar w:fldCharType="begin"/>
            </w:r>
            <w:r>
              <w:rPr>
                <w:noProof/>
                <w:webHidden/>
              </w:rPr>
              <w:instrText xml:space="preserve"> PAGEREF _Toc221358008 \h </w:instrText>
            </w:r>
            <w:r>
              <w:rPr>
                <w:noProof/>
                <w:webHidden/>
              </w:rPr>
            </w:r>
            <w:r>
              <w:rPr>
                <w:noProof/>
                <w:webHidden/>
              </w:rPr>
              <w:fldChar w:fldCharType="separate"/>
            </w:r>
            <w:r w:rsidR="00F61312">
              <w:rPr>
                <w:noProof/>
                <w:webHidden/>
              </w:rPr>
              <w:t>4</w:t>
            </w:r>
            <w:r>
              <w:rPr>
                <w:noProof/>
                <w:webHidden/>
              </w:rPr>
              <w:fldChar w:fldCharType="end"/>
            </w:r>
          </w:hyperlink>
        </w:p>
        <w:p w14:paraId="645F8550" w14:textId="5F24C823" w:rsidR="00733DE5" w:rsidRDefault="00733DE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1358009" w:history="1">
            <w:r w:rsidRPr="00D57E1D">
              <w:rPr>
                <w:rStyle w:val="Hyperlink"/>
                <w:noProof/>
              </w:rPr>
              <w:t>References</w:t>
            </w:r>
            <w:r>
              <w:rPr>
                <w:noProof/>
                <w:webHidden/>
              </w:rPr>
              <w:tab/>
            </w:r>
            <w:r>
              <w:rPr>
                <w:noProof/>
                <w:webHidden/>
              </w:rPr>
              <w:fldChar w:fldCharType="begin"/>
            </w:r>
            <w:r>
              <w:rPr>
                <w:noProof/>
                <w:webHidden/>
              </w:rPr>
              <w:instrText xml:space="preserve"> PAGEREF _Toc221358009 \h </w:instrText>
            </w:r>
            <w:r>
              <w:rPr>
                <w:noProof/>
                <w:webHidden/>
              </w:rPr>
            </w:r>
            <w:r>
              <w:rPr>
                <w:noProof/>
                <w:webHidden/>
              </w:rPr>
              <w:fldChar w:fldCharType="separate"/>
            </w:r>
            <w:r w:rsidR="00F61312">
              <w:rPr>
                <w:noProof/>
                <w:webHidden/>
              </w:rPr>
              <w:t>5</w:t>
            </w:r>
            <w:r>
              <w:rPr>
                <w:noProof/>
                <w:webHidden/>
              </w:rPr>
              <w:fldChar w:fldCharType="end"/>
            </w:r>
          </w:hyperlink>
        </w:p>
        <w:p w14:paraId="1A51577D" w14:textId="3F8A2C06"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1357993"/>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1357994"/>
      <w:r>
        <w:t>General Information</w:t>
      </w:r>
      <w:bookmarkEnd w:id="2"/>
      <w:bookmarkEnd w:id="3"/>
    </w:p>
    <w:p w14:paraId="08B7F753" w14:textId="40B732B4" w:rsidR="00542876" w:rsidRDefault="00542876" w:rsidP="00673DF1">
      <w:pPr>
        <w:pStyle w:val="paragraph"/>
        <w:numPr>
          <w:ilvl w:val="0"/>
          <w:numId w:val="34"/>
        </w:numPr>
        <w:spacing w:before="0" w:beforeAutospacing="0" w:after="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1497F303" w14:textId="77777777" w:rsidR="00542876" w:rsidRDefault="00542876" w:rsidP="00542876">
      <w:pPr>
        <w:pStyle w:val="paragraph"/>
        <w:spacing w:before="0" w:beforeAutospacing="0" w:after="0" w:afterAutospacing="0"/>
        <w:textAlignment w:val="baseline"/>
        <w:rPr>
          <w:rFonts w:ascii="Segoe UI" w:hAnsi="Segoe UI" w:cs="Segoe UI"/>
          <w:sz w:val="18"/>
          <w:szCs w:val="18"/>
        </w:rPr>
      </w:pPr>
    </w:p>
    <w:p w14:paraId="245274FC" w14:textId="77777777" w:rsidR="00542876" w:rsidRDefault="00542876" w:rsidP="00673DF1">
      <w:pPr>
        <w:pStyle w:val="paragraph"/>
        <w:numPr>
          <w:ilvl w:val="0"/>
          <w:numId w:val="34"/>
        </w:numPr>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1357995"/>
      <w:r>
        <w:t>Purpose</w:t>
      </w:r>
      <w:bookmarkEnd w:id="4"/>
      <w:bookmarkEnd w:id="5"/>
    </w:p>
    <w:p w14:paraId="01CC9B8E" w14:textId="14BB5B01"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r w:rsidR="007216DC">
        <w:rPr>
          <w:color w:val="000000" w:themeColor="text1"/>
        </w:rPr>
        <w:t>Q</w:t>
      </w:r>
      <w:r w:rsidR="00A5189B">
        <w:rPr>
          <w:color w:val="000000" w:themeColor="text1"/>
        </w:rPr>
        <w:t xml:space="preserve">ALSODY </w:t>
      </w:r>
      <w:r w:rsidR="007216DC">
        <w:rPr>
          <w:color w:val="000000" w:themeColor="text1"/>
        </w:rPr>
        <w:t>(</w:t>
      </w:r>
      <w:proofErr w:type="spellStart"/>
      <w:r w:rsidR="007216DC">
        <w:rPr>
          <w:color w:val="000000" w:themeColor="text1"/>
        </w:rPr>
        <w:t>tofersen</w:t>
      </w:r>
      <w:proofErr w:type="spellEnd"/>
      <w:r w:rsidR="007216DC">
        <w:rPr>
          <w:color w:val="000000" w:themeColor="text1"/>
        </w:rPr>
        <w:t>)</w:t>
      </w:r>
      <w:r w:rsidRPr="7A2049BD">
        <w:rPr>
          <w:color w:val="000000" w:themeColor="text1"/>
        </w:rPr>
        <w:t>.</w:t>
      </w:r>
    </w:p>
    <w:p w14:paraId="50F6E761" w14:textId="77777777" w:rsidR="00E768E6" w:rsidRDefault="00B21AF9">
      <w:pPr>
        <w:pStyle w:val="Heading2"/>
      </w:pPr>
      <w:bookmarkStart w:id="7" w:name="_Toc221357996"/>
      <w:r>
        <w:t>Scope</w:t>
      </w:r>
      <w:bookmarkEnd w:id="6"/>
      <w:bookmarkEnd w:id="7"/>
    </w:p>
    <w:p w14:paraId="0C5475CC" w14:textId="3DE18531"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1357997"/>
      <w:bookmarkEnd w:id="8"/>
      <w:r>
        <w:t>I</w:t>
      </w:r>
      <w:bookmarkEnd w:id="9"/>
      <w:r w:rsidR="008541B7">
        <w:t>NITIAL REVIEW CRITERIA</w:t>
      </w:r>
      <w:bookmarkEnd w:id="10"/>
    </w:p>
    <w:p w14:paraId="5DFD4335" w14:textId="01997D00" w:rsidR="002B581F" w:rsidRP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listed below. </w:t>
      </w:r>
    </w:p>
    <w:p w14:paraId="2C1B2385" w14:textId="77777777" w:rsidR="007216DC" w:rsidRPr="007216DC" w:rsidRDefault="007216DC" w:rsidP="007216DC">
      <w:pPr>
        <w:pStyle w:val="ListParagraph"/>
        <w:numPr>
          <w:ilvl w:val="0"/>
          <w:numId w:val="30"/>
        </w:numPr>
        <w:rPr>
          <w:color w:val="000000"/>
        </w:rPr>
      </w:pPr>
      <w:bookmarkStart w:id="11" w:name="59e66837-f347-4cba-ad06-9c8898541074"/>
      <w:r w:rsidRPr="007216DC">
        <w:rPr>
          <w:color w:val="000000"/>
        </w:rPr>
        <w:t xml:space="preserve">Must have all documentation submitted that supports the diagnosis of amyotrophic lateral sclerosis (ALS) (e.g., chart notes, imaging, nerve conduction studies, laboratory values) </w:t>
      </w:r>
    </w:p>
    <w:p w14:paraId="1B2A0F32" w14:textId="0D86C25C" w:rsidR="007216DC" w:rsidRPr="007216DC" w:rsidRDefault="007216DC" w:rsidP="007216DC">
      <w:pPr>
        <w:pStyle w:val="ListParagraph"/>
        <w:numPr>
          <w:ilvl w:val="0"/>
          <w:numId w:val="30"/>
        </w:numPr>
        <w:rPr>
          <w:color w:val="000000"/>
        </w:rPr>
      </w:pPr>
      <w:r w:rsidRPr="007216DC">
        <w:rPr>
          <w:color w:val="000000"/>
        </w:rPr>
        <w:t xml:space="preserve">Must be </w:t>
      </w:r>
      <w:proofErr w:type="gramStart"/>
      <w:r w:rsidRPr="007216DC">
        <w:rPr>
          <w:color w:val="000000"/>
        </w:rPr>
        <w:t>age</w:t>
      </w:r>
      <w:proofErr w:type="gramEnd"/>
      <w:r w:rsidRPr="007216DC">
        <w:rPr>
          <w:color w:val="000000"/>
        </w:rPr>
        <w:t xml:space="preserve"> 18 or older </w:t>
      </w:r>
    </w:p>
    <w:p w14:paraId="06A2ADAC" w14:textId="77777777" w:rsidR="007216DC" w:rsidRPr="007216DC" w:rsidRDefault="007216DC" w:rsidP="007216DC">
      <w:pPr>
        <w:pStyle w:val="ListParagraph"/>
        <w:numPr>
          <w:ilvl w:val="0"/>
          <w:numId w:val="30"/>
        </w:numPr>
        <w:rPr>
          <w:color w:val="000000"/>
        </w:rPr>
      </w:pPr>
      <w:r w:rsidRPr="007216DC">
        <w:rPr>
          <w:color w:val="000000"/>
        </w:rPr>
        <w:t xml:space="preserve">Must have a mutation in the superoxide dismutase 1 (SOD1) gene </w:t>
      </w:r>
    </w:p>
    <w:p w14:paraId="0F5B2724" w14:textId="76EFE58E" w:rsidR="007216DC" w:rsidRPr="007216DC" w:rsidRDefault="007216DC" w:rsidP="007216DC">
      <w:pPr>
        <w:pStyle w:val="ListParagraph"/>
        <w:numPr>
          <w:ilvl w:val="0"/>
          <w:numId w:val="30"/>
        </w:numPr>
        <w:rPr>
          <w:color w:val="000000"/>
        </w:rPr>
      </w:pPr>
      <w:r w:rsidRPr="007216DC">
        <w:rPr>
          <w:color w:val="000000"/>
        </w:rPr>
        <w:t xml:space="preserve">Must be prescribed by, or in consultation with, a neurologist, neuromuscular specialist, or physician specializing in the treatment of ALS </w:t>
      </w:r>
    </w:p>
    <w:p w14:paraId="11E3E44E" w14:textId="77777777" w:rsidR="007216DC" w:rsidRPr="007216DC" w:rsidRDefault="007216DC" w:rsidP="007216DC">
      <w:pPr>
        <w:pStyle w:val="ListParagraph"/>
        <w:numPr>
          <w:ilvl w:val="0"/>
          <w:numId w:val="30"/>
        </w:numPr>
        <w:rPr>
          <w:color w:val="000000"/>
        </w:rPr>
      </w:pPr>
      <w:r w:rsidRPr="007216DC">
        <w:rPr>
          <w:color w:val="000000"/>
        </w:rPr>
        <w:t xml:space="preserve">Must have documentation of the member’s baseline functional ability prior to initiating treatment (e.g., speech, walking, climbing stairs, etc.) </w:t>
      </w:r>
    </w:p>
    <w:p w14:paraId="01D3F051" w14:textId="1202360B" w:rsidR="00E262A1" w:rsidRDefault="007216DC" w:rsidP="00E262A1">
      <w:pPr>
        <w:pStyle w:val="ListParagraph"/>
        <w:numPr>
          <w:ilvl w:val="0"/>
          <w:numId w:val="30"/>
        </w:numPr>
        <w:rPr>
          <w:color w:val="000000"/>
        </w:rPr>
      </w:pPr>
      <w:r w:rsidRPr="007216DC">
        <w:rPr>
          <w:color w:val="000000"/>
        </w:rPr>
        <w:t>Must be prescribed at a dose within the manufacturer’s dosing guidelines (based on diagnosis, weight, etc.) listed in the FDA</w:t>
      </w:r>
      <w:r w:rsidR="00F81698">
        <w:rPr>
          <w:color w:val="000000"/>
        </w:rPr>
        <w:t>-</w:t>
      </w:r>
      <w:r w:rsidRPr="007216DC">
        <w:rPr>
          <w:color w:val="000000"/>
        </w:rPr>
        <w:t xml:space="preserve">approved labeling </w:t>
      </w:r>
      <w:bookmarkEnd w:id="11"/>
    </w:p>
    <w:p w14:paraId="50F6E848" w14:textId="65EAF55D" w:rsidR="00E768E6" w:rsidRPr="00121D1A" w:rsidRDefault="002B581F" w:rsidP="00A03DEC">
      <w:pPr>
        <w:pStyle w:val="Heading1"/>
      </w:pPr>
      <w:bookmarkStart w:id="12" w:name="_Toc221357998"/>
      <w:r>
        <w:t>R</w:t>
      </w:r>
      <w:r w:rsidR="00903D20">
        <w:t>e</w:t>
      </w:r>
      <w:r>
        <w:t>authorization Criteria</w:t>
      </w:r>
      <w:bookmarkEnd w:id="12"/>
    </w:p>
    <w:p w14:paraId="76ECF7FB" w14:textId="5A7332EC" w:rsidR="00114938" w:rsidRDefault="007216DC" w:rsidP="00DD3E97">
      <w:pPr>
        <w:rPr>
          <w:color w:val="000000"/>
        </w:rPr>
      </w:pPr>
      <w:bookmarkStart w:id="13" w:name="bf411eb6-39fd-4766-b04d-3f0de901e5e4"/>
      <w:r w:rsidRPr="00DD3E97">
        <w:rPr>
          <w:color w:val="000000"/>
        </w:rPr>
        <w:t>All prior authorization renewals are reviewed on an annual basis to determine the Medical Necessity for continuation of therapy. </w:t>
      </w:r>
      <w:r w:rsidR="00114938" w:rsidRPr="00114938">
        <w:rPr>
          <w:color w:val="000000"/>
        </w:rPr>
        <w:t xml:space="preserve">The request must meet </w:t>
      </w:r>
      <w:proofErr w:type="gramStart"/>
      <w:r w:rsidR="00114938" w:rsidRPr="00114938">
        <w:rPr>
          <w:color w:val="000000"/>
        </w:rPr>
        <w:t>all of</w:t>
      </w:r>
      <w:proofErr w:type="gramEnd"/>
      <w:r w:rsidR="00114938" w:rsidRPr="00114938">
        <w:rPr>
          <w:color w:val="000000"/>
        </w:rPr>
        <w:t xml:space="preserve"> the criteria listed </w:t>
      </w:r>
      <w:r w:rsidR="00114938">
        <w:rPr>
          <w:color w:val="000000"/>
        </w:rPr>
        <w:t xml:space="preserve">below. </w:t>
      </w:r>
    </w:p>
    <w:p w14:paraId="1B947B5F" w14:textId="77777777" w:rsidR="00114938" w:rsidRDefault="00114938" w:rsidP="00DD3E97">
      <w:pPr>
        <w:rPr>
          <w:color w:val="000000"/>
        </w:rPr>
      </w:pPr>
    </w:p>
    <w:p w14:paraId="04880BF9" w14:textId="7732D072" w:rsidR="0088160A" w:rsidRPr="004867DD" w:rsidRDefault="00545283" w:rsidP="00F35205">
      <w:pPr>
        <w:pStyle w:val="ListParagraph"/>
        <w:numPr>
          <w:ilvl w:val="0"/>
          <w:numId w:val="37"/>
        </w:numPr>
      </w:pPr>
      <w:r>
        <w:rPr>
          <w:color w:val="000000"/>
        </w:rPr>
        <w:t xml:space="preserve">Recent </w:t>
      </w:r>
      <w:r w:rsidR="007216DC" w:rsidRPr="00F35205">
        <w:rPr>
          <w:color w:val="000000"/>
        </w:rPr>
        <w:t xml:space="preserve">chart documentation showing a positive clinical response as demonstrated by disease stability or mild progression, indicating a slowing of decline </w:t>
      </w:r>
    </w:p>
    <w:p w14:paraId="3FAE7D68" w14:textId="0625FBF1" w:rsidR="009944C9" w:rsidRPr="004867DD" w:rsidRDefault="009944C9" w:rsidP="009944C9">
      <w:pPr>
        <w:pStyle w:val="ListParagraph"/>
        <w:numPr>
          <w:ilvl w:val="0"/>
          <w:numId w:val="37"/>
        </w:numPr>
        <w:rPr>
          <w:color w:val="000000"/>
        </w:rPr>
      </w:pPr>
      <w:r w:rsidRPr="007216DC">
        <w:rPr>
          <w:color w:val="000000"/>
        </w:rPr>
        <w:t>Must be prescribed at a dose within the manufacturer’s dosing guidelines (based on diagnosis, weight, etc.) listed in the FDA</w:t>
      </w:r>
      <w:r w:rsidR="007127CB">
        <w:rPr>
          <w:color w:val="000000"/>
        </w:rPr>
        <w:t>-</w:t>
      </w:r>
      <w:r w:rsidRPr="007216DC">
        <w:rPr>
          <w:color w:val="000000"/>
        </w:rPr>
        <w:t xml:space="preserve">approved labeling </w:t>
      </w:r>
    </w:p>
    <w:p w14:paraId="27CDA761" w14:textId="77777777" w:rsidR="00B04EC0" w:rsidRPr="00121D1A" w:rsidRDefault="00B04EC0" w:rsidP="00B04EC0">
      <w:pPr>
        <w:pStyle w:val="Heading1"/>
      </w:pPr>
      <w:bookmarkStart w:id="14" w:name="_Toc189906977"/>
      <w:bookmarkStart w:id="15" w:name="_Toc221357999"/>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62B950D0" w:rsidR="00886909" w:rsidRPr="00962841" w:rsidRDefault="007216DC" w:rsidP="007216DC">
            <w:pPr>
              <w:pStyle w:val="In-TextTable"/>
            </w:pPr>
            <w:r>
              <w:t xml:space="preserve">Up to </w:t>
            </w:r>
            <w:r w:rsidR="00F81698">
              <w:t>one</w:t>
            </w:r>
            <w:r>
              <w:t xml:space="preserve"> year </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34EFBBB7" w:rsidR="00B04EC0" w:rsidRPr="00962841" w:rsidRDefault="007216DC" w:rsidP="009944C9">
            <w:pPr>
              <w:pStyle w:val="In-TextTable"/>
            </w:pPr>
            <w:r>
              <w:t xml:space="preserve">Same as initial </w:t>
            </w:r>
          </w:p>
        </w:tc>
      </w:tr>
    </w:tbl>
    <w:p w14:paraId="50F6E878" w14:textId="2A55145C" w:rsidR="00E768E6" w:rsidRDefault="00B21AF9" w:rsidP="00A03DEC">
      <w:pPr>
        <w:pStyle w:val="Heading1"/>
      </w:pPr>
      <w:bookmarkStart w:id="16" w:name="da639a29-a55e-49c4-8655-0f6eeb953c05"/>
      <w:bookmarkStart w:id="17" w:name="_Toc221358000"/>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1358001"/>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50DD05FA" w:rsidR="005D7959" w:rsidRPr="00141835" w:rsidRDefault="007216DC" w:rsidP="005D7959">
            <w:pPr>
              <w:pStyle w:val="In-TextTable"/>
            </w:pPr>
            <w:r>
              <w:t>J1304</w:t>
            </w:r>
          </w:p>
        </w:tc>
        <w:tc>
          <w:tcPr>
            <w:tcW w:w="1773" w:type="dxa"/>
            <w:tcBorders>
              <w:top w:val="single" w:sz="6" w:space="0" w:color="auto"/>
              <w:left w:val="single" w:sz="6" w:space="0" w:color="auto"/>
              <w:bottom w:val="single" w:sz="6" w:space="0" w:color="auto"/>
              <w:right w:val="single" w:sz="6" w:space="0" w:color="auto"/>
            </w:tcBorders>
          </w:tcPr>
          <w:p w14:paraId="0FED3A80" w14:textId="5FB5816B" w:rsidR="005D7959" w:rsidRDefault="007216DC" w:rsidP="005D7959">
            <w:pPr>
              <w:pStyle w:val="In-TextTable"/>
            </w:pPr>
            <w:r>
              <w:t>QALSODY</w:t>
            </w:r>
          </w:p>
        </w:tc>
        <w:tc>
          <w:tcPr>
            <w:tcW w:w="6394" w:type="dxa"/>
            <w:tcBorders>
              <w:top w:val="single" w:sz="6" w:space="0" w:color="auto"/>
              <w:left w:val="single" w:sz="6" w:space="0" w:color="auto"/>
              <w:bottom w:val="single" w:sz="6" w:space="0" w:color="auto"/>
              <w:right w:val="single" w:sz="6" w:space="0" w:color="auto"/>
            </w:tcBorders>
          </w:tcPr>
          <w:p w14:paraId="1AE9F9D3" w14:textId="36EED165" w:rsidR="005D7959" w:rsidRPr="00141835" w:rsidRDefault="007216DC" w:rsidP="005D7959">
            <w:pPr>
              <w:pStyle w:val="In-TextTable"/>
            </w:pPr>
            <w:r>
              <w:t>INJECTION, TOFERSEN, 1MG</w:t>
            </w:r>
          </w:p>
        </w:tc>
      </w:tr>
    </w:tbl>
    <w:p w14:paraId="50F6E886" w14:textId="360D6987" w:rsidR="00E768E6" w:rsidRDefault="00B21AF9">
      <w:pPr>
        <w:pStyle w:val="Heading2"/>
      </w:pPr>
      <w:bookmarkStart w:id="22" w:name="_Toc221358002"/>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1358003"/>
      <w:r>
        <w:t>Background</w:t>
      </w:r>
      <w:bookmarkEnd w:id="23"/>
      <w:bookmarkEnd w:id="24"/>
    </w:p>
    <w:p w14:paraId="7865CE67" w14:textId="0D01ABDE" w:rsidR="009944C9" w:rsidRPr="009944C9" w:rsidRDefault="00A5189B" w:rsidP="009944C9">
      <w:bookmarkStart w:id="25" w:name="c8f46071-6a85-41b8-910e-ee88343077c4"/>
      <w:r>
        <w:t>QALSODY</w:t>
      </w:r>
      <w:r w:rsidR="007216DC" w:rsidRPr="009944C9">
        <w:t xml:space="preserve"> (</w:t>
      </w:r>
      <w:proofErr w:type="spellStart"/>
      <w:r w:rsidR="007216DC" w:rsidRPr="009944C9">
        <w:t>tofersen</w:t>
      </w:r>
      <w:proofErr w:type="spellEnd"/>
      <w:r w:rsidR="007216DC" w:rsidRPr="009944C9">
        <w:t xml:space="preserve">) </w:t>
      </w:r>
      <w:r w:rsidR="00906612">
        <w:t xml:space="preserve">is indicated </w:t>
      </w:r>
      <w:r w:rsidR="007216DC" w:rsidRPr="009944C9">
        <w:t>for the treatment of amyotrophic lateral sclerosis (ALS) in adults who have a mutation in the superoxide dismutase 1 (SOD1) gene. This indication is approved under accelerated approval based on reduction in plasma neurofilament light chain observed in patients treated with QALSODY. Continued approval for this indication may be contingent upon verification of clinical benefit in confirmatory trial(s).</w:t>
      </w:r>
    </w:p>
    <w:p w14:paraId="50F6E8A9" w14:textId="365336F4" w:rsidR="00E768E6" w:rsidRDefault="00B21AF9" w:rsidP="00E35E4A">
      <w:pPr>
        <w:pStyle w:val="Heading1"/>
      </w:pPr>
      <w:bookmarkStart w:id="26" w:name="_Toc221358004"/>
      <w:r>
        <w:lastRenderedPageBreak/>
        <w:t>Policy History</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25BE7D5E" w:rsidR="00E768E6" w:rsidRDefault="00121D1A" w:rsidP="00E35E4A">
            <w:pPr>
              <w:pStyle w:val="In-TextTable"/>
            </w:pPr>
            <w:r>
              <w:t>Month Year</w:t>
            </w:r>
          </w:p>
        </w:tc>
        <w:tc>
          <w:tcPr>
            <w:tcW w:w="3755" w:type="pct"/>
          </w:tcPr>
          <w:p w14:paraId="50F6E8AF" w14:textId="33738E92" w:rsidR="00E35E4A" w:rsidRDefault="00231D9A" w:rsidP="00E177C5">
            <w:pPr>
              <w:pStyle w:val="ListParagraph"/>
              <w:numPr>
                <w:ilvl w:val="0"/>
                <w:numId w:val="28"/>
              </w:numPr>
            </w:pPr>
            <w:r>
              <w:t>Added dosing criterion to reauthorization criteria</w:t>
            </w:r>
          </w:p>
        </w:tc>
      </w:tr>
      <w:tr w:rsidR="00E768E6" w14:paraId="50F6E8B4" w14:textId="77777777" w:rsidTr="00E35E4A">
        <w:tc>
          <w:tcPr>
            <w:tcW w:w="1245" w:type="pct"/>
          </w:tcPr>
          <w:p w14:paraId="50F6E8B1" w14:textId="6EBB362F" w:rsidR="00E768E6" w:rsidRDefault="00CF5EF6" w:rsidP="00E35E4A">
            <w:pPr>
              <w:pStyle w:val="In-TextTable"/>
            </w:pPr>
            <w:r>
              <w:t>April 2024</w:t>
            </w:r>
          </w:p>
        </w:tc>
        <w:tc>
          <w:tcPr>
            <w:tcW w:w="3755" w:type="pct"/>
          </w:tcPr>
          <w:p w14:paraId="50F6E8B3" w14:textId="6159A0AF" w:rsidR="00E768E6" w:rsidRDefault="00CF5EF6" w:rsidP="00E177C5">
            <w:pPr>
              <w:pStyle w:val="ListParagraph"/>
              <w:numPr>
                <w:ilvl w:val="0"/>
                <w:numId w:val="28"/>
              </w:numPr>
            </w:pPr>
            <w:r>
              <w:rPr>
                <w:color w:val="000000"/>
              </w:rPr>
              <w:t xml:space="preserve">New </w:t>
            </w:r>
            <w:r w:rsidR="007127CB">
              <w:rPr>
                <w:color w:val="000000"/>
              </w:rPr>
              <w:t>g</w:t>
            </w:r>
            <w:r>
              <w:rPr>
                <w:color w:val="000000"/>
              </w:rPr>
              <w:t>uideline</w:t>
            </w:r>
          </w:p>
        </w:tc>
      </w:tr>
    </w:tbl>
    <w:p w14:paraId="50F6E8BE" w14:textId="77777777" w:rsidR="00E768E6" w:rsidRDefault="00B21AF9" w:rsidP="00A03DEC">
      <w:pPr>
        <w:pStyle w:val="Heading1"/>
      </w:pPr>
      <w:bookmarkStart w:id="27" w:name="4b512564-b43b-4807-b45a-5748be5b1408"/>
      <w:bookmarkStart w:id="28" w:name="_Toc221358005"/>
      <w:r>
        <w:t>Legal and Compliance</w:t>
      </w:r>
      <w:bookmarkEnd w:id="27"/>
      <w:bookmarkEnd w:id="28"/>
    </w:p>
    <w:p w14:paraId="50F6E8BF" w14:textId="77777777" w:rsidR="00E768E6" w:rsidRDefault="00B21AF9" w:rsidP="00A03DEC">
      <w:pPr>
        <w:pStyle w:val="Heading2"/>
        <w:spacing w:before="120"/>
      </w:pPr>
      <w:bookmarkStart w:id="29" w:name="04291978-1a0a-4575-ba22-05363952021b"/>
      <w:bookmarkStart w:id="30" w:name="_Toc221358006"/>
      <w:r>
        <w:t>Guideline Approval</w:t>
      </w:r>
      <w:bookmarkEnd w:id="29"/>
      <w:bookmarkEnd w:id="30"/>
    </w:p>
    <w:p w14:paraId="50F6E8C0" w14:textId="77777777" w:rsidR="00E768E6" w:rsidRDefault="00B21AF9" w:rsidP="00A03DEC">
      <w:pPr>
        <w:pStyle w:val="Heading3"/>
        <w:spacing w:before="120"/>
      </w:pPr>
      <w:bookmarkStart w:id="31" w:name="b97fcac7-a717-42a2-b4fe-62c00859e1e4"/>
      <w:bookmarkStart w:id="32" w:name="_Toc221358007"/>
      <w:r>
        <w:t>Committee</w:t>
      </w:r>
      <w:bookmarkEnd w:id="31"/>
      <w:bookmarkEnd w:id="32"/>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3" w:name="2aca8366-a793-4f5d-9375-d9ccb446b05d"/>
      <w:bookmarkStart w:id="34" w:name="_Toc221358008"/>
      <w:r>
        <w:t>Disclaimer</w:t>
      </w:r>
      <w:bookmarkEnd w:id="33"/>
      <w:bookmarkEnd w:id="34"/>
    </w:p>
    <w:p w14:paraId="5F1BB0E6" w14:textId="77777777" w:rsidR="00A5189B" w:rsidRPr="00A5189B" w:rsidRDefault="00A5189B" w:rsidP="00A5189B">
      <w:pPr>
        <w:rPr>
          <w:i/>
          <w:iCs/>
          <w:color w:val="000000"/>
        </w:rPr>
      </w:pPr>
      <w:r w:rsidRPr="00A5189B">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6514066E" w14:textId="77777777" w:rsidR="00A5189B" w:rsidRPr="00A5189B" w:rsidRDefault="00A5189B" w:rsidP="00A5189B">
      <w:pPr>
        <w:rPr>
          <w:i/>
          <w:iCs/>
          <w:color w:val="000000"/>
        </w:rPr>
      </w:pPr>
    </w:p>
    <w:p w14:paraId="7CD03880" w14:textId="4C4787D8" w:rsidR="00EC7EE7" w:rsidRPr="00EC7EE7" w:rsidRDefault="00A5189B" w:rsidP="00A5189B">
      <w:pPr>
        <w:rPr>
          <w:b/>
          <w:bCs/>
          <w:i/>
          <w:iCs/>
          <w:color w:val="000000"/>
        </w:rPr>
      </w:pPr>
      <w:r w:rsidRPr="00A5189B">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A5189B">
        <w:rPr>
          <w:i/>
          <w:iCs/>
          <w:color w:val="000000"/>
        </w:rPr>
        <w:t>is</w:t>
      </w:r>
      <w:proofErr w:type="gramEnd"/>
      <w:r w:rsidRPr="00A5189B">
        <w:rPr>
          <w:i/>
          <w:iCs/>
          <w:color w:val="000000"/>
        </w:rPr>
        <w:t xml:space="preserve"> not fully established. When Medicare criteria </w:t>
      </w:r>
      <w:proofErr w:type="gramStart"/>
      <w:r w:rsidRPr="00A5189B">
        <w:rPr>
          <w:i/>
          <w:iCs/>
          <w:color w:val="000000"/>
        </w:rPr>
        <w:t>is</w:t>
      </w:r>
      <w:proofErr w:type="gramEnd"/>
      <w:r w:rsidRPr="00A5189B">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A5189B">
        <w:rPr>
          <w:i/>
          <w:iCs/>
          <w:color w:val="000000"/>
        </w:rPr>
        <w:t>in order to</w:t>
      </w:r>
      <w:proofErr w:type="gramEnd"/>
      <w:r w:rsidRPr="00A5189B">
        <w:rPr>
          <w:i/>
          <w:iCs/>
          <w:color w:val="000000"/>
        </w:rPr>
        <w:t xml:space="preserve"> determine medical necessity.</w:t>
      </w:r>
    </w:p>
    <w:p w14:paraId="3DD7D67B" w14:textId="77777777" w:rsidR="00EC7EE7" w:rsidRDefault="00EC7EE7">
      <w:pPr>
        <w:spacing w:before="0" w:after="0"/>
        <w:rPr>
          <w:rFonts w:eastAsia="Calibri" w:cs="Calibri"/>
          <w:b/>
          <w:bCs/>
          <w:caps/>
          <w:sz w:val="36"/>
          <w:szCs w:val="28"/>
        </w:rPr>
      </w:pPr>
      <w:r>
        <w:br w:type="page"/>
      </w:r>
    </w:p>
    <w:p w14:paraId="50F6E8C6" w14:textId="26CF795B" w:rsidR="00E768E6" w:rsidRDefault="00B21AF9" w:rsidP="00A03DEC">
      <w:pPr>
        <w:pStyle w:val="Heading1"/>
      </w:pPr>
      <w:bookmarkStart w:id="35" w:name="_Toc221358009"/>
      <w:r>
        <w:lastRenderedPageBreak/>
        <w:t>References</w:t>
      </w:r>
      <w:bookmarkEnd w:id="35"/>
    </w:p>
    <w:p w14:paraId="160A0AFD" w14:textId="2BD669FD" w:rsidR="007216DC" w:rsidRDefault="007216DC">
      <w:pPr>
        <w:pStyle w:val="ListParagraph"/>
        <w:numPr>
          <w:ilvl w:val="0"/>
          <w:numId w:val="36"/>
        </w:numPr>
        <w:spacing w:before="0" w:line="278" w:lineRule="auto"/>
        <w:contextualSpacing/>
        <w:rPr>
          <w:rFonts w:cs="Arial"/>
        </w:rPr>
      </w:pPr>
      <w:r w:rsidRPr="007216DC">
        <w:rPr>
          <w:rFonts w:cs="Arial"/>
        </w:rPr>
        <w:t>Q</w:t>
      </w:r>
      <w:r w:rsidR="00A5189B">
        <w:rPr>
          <w:rFonts w:cs="Arial"/>
        </w:rPr>
        <w:t>ALSODY</w:t>
      </w:r>
      <w:r w:rsidRPr="007216DC">
        <w:rPr>
          <w:rFonts w:cs="Arial"/>
        </w:rPr>
        <w:t> (</w:t>
      </w:r>
      <w:proofErr w:type="spellStart"/>
      <w:r w:rsidRPr="007216DC">
        <w:rPr>
          <w:rFonts w:cs="Arial"/>
        </w:rPr>
        <w:t>tofersen</w:t>
      </w:r>
      <w:proofErr w:type="spellEnd"/>
      <w:r w:rsidRPr="007216DC">
        <w:rPr>
          <w:rFonts w:cs="Arial"/>
        </w:rPr>
        <w:t>) [prescribing information]. Cambridge, MA: Biogen MA Inc; April 2023. </w:t>
      </w:r>
    </w:p>
    <w:p w14:paraId="1A543A12" w14:textId="50C91813" w:rsidR="007216DC" w:rsidRPr="007216DC" w:rsidRDefault="007216DC" w:rsidP="00E262A1">
      <w:pPr>
        <w:pStyle w:val="ListParagraph"/>
        <w:numPr>
          <w:ilvl w:val="0"/>
          <w:numId w:val="36"/>
        </w:numPr>
        <w:spacing w:before="0" w:line="278" w:lineRule="auto"/>
        <w:contextualSpacing/>
        <w:rPr>
          <w:rFonts w:cs="Arial"/>
        </w:rPr>
      </w:pPr>
      <w:r w:rsidRPr="007216DC">
        <w:rPr>
          <w:rFonts w:cs="Arial"/>
        </w:rPr>
        <w:t>Miller TM, </w:t>
      </w:r>
      <w:proofErr w:type="spellStart"/>
      <w:r w:rsidRPr="007216DC">
        <w:rPr>
          <w:rFonts w:cs="Arial"/>
        </w:rPr>
        <w:t>Cudkowicz</w:t>
      </w:r>
      <w:proofErr w:type="spellEnd"/>
      <w:r w:rsidRPr="007216DC">
        <w:rPr>
          <w:rFonts w:cs="Arial"/>
        </w:rPr>
        <w:t> ME, Genge A, et al; VALOR and OLE Working Group. Trial of antisense oligonucleotide </w:t>
      </w:r>
      <w:proofErr w:type="spellStart"/>
      <w:r w:rsidRPr="007216DC">
        <w:rPr>
          <w:rFonts w:cs="Arial"/>
        </w:rPr>
        <w:t>tofersen</w:t>
      </w:r>
      <w:proofErr w:type="spellEnd"/>
      <w:r w:rsidRPr="007216DC">
        <w:rPr>
          <w:rFonts w:cs="Arial"/>
        </w:rPr>
        <w:t> for </w:t>
      </w:r>
      <w:r w:rsidRPr="007216DC">
        <w:rPr>
          <w:rFonts w:cs="Arial"/>
          <w:i/>
          <w:iCs/>
        </w:rPr>
        <w:t>SOD1</w:t>
      </w:r>
      <w:r w:rsidRPr="007216DC">
        <w:rPr>
          <w:rFonts w:cs="Arial"/>
        </w:rPr>
        <w:t> ALS. </w:t>
      </w:r>
      <w:r w:rsidRPr="007216DC">
        <w:rPr>
          <w:rFonts w:cs="Arial"/>
          <w:i/>
          <w:iCs/>
        </w:rPr>
        <w:t>N Engl J Med</w:t>
      </w:r>
      <w:r w:rsidRPr="007216DC">
        <w:rPr>
          <w:rFonts w:cs="Arial"/>
        </w:rPr>
        <w:t>. 2022;387(12):1099-1110. doi:10.1056/NEJMoa2204705</w:t>
      </w:r>
      <w:hyperlink r:id="rId11" w:tgtFrame="_blank" w:history="1">
        <w:r w:rsidRPr="007216DC">
          <w:rPr>
            <w:rStyle w:val="Hyperlink"/>
            <w:rFonts w:cs="Arial"/>
            <w:b w:val="0"/>
            <w:bCs w:val="0"/>
          </w:rPr>
          <w:t>[PubMed 36129998]</w:t>
        </w:r>
      </w:hyperlink>
      <w:r w:rsidRPr="007216DC">
        <w:rPr>
          <w:rFonts w:cs="Arial"/>
        </w:rPr>
        <w:t> </w:t>
      </w:r>
    </w:p>
    <w:p w14:paraId="50F6E8E0" w14:textId="1F230F51" w:rsidR="00E768E6" w:rsidRPr="00C764C3" w:rsidRDefault="00E768E6" w:rsidP="00E262A1">
      <w:pPr>
        <w:pStyle w:val="Bibliography"/>
        <w:ind w:left="360"/>
        <w:rPr>
          <w:sz w:val="22"/>
        </w:rPr>
      </w:pPr>
    </w:p>
    <w:sectPr w:rsidR="00E768E6" w:rsidRPr="00C764C3" w:rsidSect="00B453FA">
      <w:headerReference w:type="default" r:id="rId12"/>
      <w:footerReference w:type="default" r:id="rId13"/>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2F31" w14:textId="77777777" w:rsidR="00937767" w:rsidRDefault="00937767">
      <w:pPr>
        <w:spacing w:before="0" w:after="0"/>
      </w:pPr>
      <w:r>
        <w:separator/>
      </w:r>
    </w:p>
  </w:endnote>
  <w:endnote w:type="continuationSeparator" w:id="0">
    <w:p w14:paraId="6FC2F824" w14:textId="77777777" w:rsidR="00937767" w:rsidRDefault="00937767">
      <w:pPr>
        <w:spacing w:before="0" w:after="0"/>
      </w:pPr>
      <w:r>
        <w:continuationSeparator/>
      </w:r>
    </w:p>
  </w:endnote>
  <w:endnote w:type="continuationNotice" w:id="1">
    <w:p w14:paraId="61FFE6C9" w14:textId="77777777" w:rsidR="00937767" w:rsidRDefault="00937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403BE3E4" w:rsidR="00E768E6" w:rsidRDefault="5D66B660">
    <w:pPr>
      <w:pStyle w:val="Footer"/>
    </w:pPr>
    <w:r>
      <w:t xml:space="preserve">EVH Clinical Guideline </w:t>
    </w:r>
    <w:r w:rsidR="003130FC">
      <w:t>5095</w:t>
    </w:r>
    <w:r>
      <w:t xml:space="preserve">.CC for </w:t>
    </w:r>
    <w:r w:rsidR="007216DC">
      <w:t>Q</w:t>
    </w:r>
    <w:r w:rsidR="00A5189B">
      <w:t>ALSODY</w:t>
    </w:r>
    <w:r w:rsidR="007216DC">
      <w:t xml:space="preserve"> (</w:t>
    </w:r>
    <w:proofErr w:type="spellStart"/>
    <w:r w:rsidR="007216DC">
      <w:t>tofersen</w:t>
    </w:r>
    <w:proofErr w:type="spellEnd"/>
    <w:r w:rsidR="007216D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CDE0" w14:textId="77777777" w:rsidR="00937767" w:rsidRDefault="00937767">
      <w:pPr>
        <w:spacing w:before="0" w:after="0"/>
      </w:pPr>
      <w:r>
        <w:separator/>
      </w:r>
    </w:p>
  </w:footnote>
  <w:footnote w:type="continuationSeparator" w:id="0">
    <w:p w14:paraId="46A1318C" w14:textId="77777777" w:rsidR="00937767" w:rsidRDefault="00937767">
      <w:pPr>
        <w:spacing w:before="0" w:after="0"/>
      </w:pPr>
      <w:r>
        <w:continuationSeparator/>
      </w:r>
    </w:p>
  </w:footnote>
  <w:footnote w:type="continuationNotice" w:id="1">
    <w:p w14:paraId="037A811D" w14:textId="77777777" w:rsidR="00937767" w:rsidRDefault="009377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C9C36EB"/>
    <w:multiLevelType w:val="hybridMultilevel"/>
    <w:tmpl w:val="3576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5762D70"/>
    <w:multiLevelType w:val="hybridMultilevel"/>
    <w:tmpl w:val="D78CA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0"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5969690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19"/>
    <w:lvlOverride w:ilvl="0">
      <w:startOverride w:val="1"/>
    </w:lvlOverride>
  </w:num>
  <w:num w:numId="3" w16cid:durableId="1483080296">
    <w:abstractNumId w:val="3"/>
  </w:num>
  <w:num w:numId="4" w16cid:durableId="1938244795">
    <w:abstractNumId w:val="32"/>
  </w:num>
  <w:num w:numId="5" w16cid:durableId="443425685">
    <w:abstractNumId w:val="13"/>
  </w:num>
  <w:num w:numId="6" w16cid:durableId="1035155679">
    <w:abstractNumId w:val="33"/>
  </w:num>
  <w:num w:numId="7" w16cid:durableId="1644895934">
    <w:abstractNumId w:val="8"/>
  </w:num>
  <w:num w:numId="8" w16cid:durableId="108479868">
    <w:abstractNumId w:val="26"/>
  </w:num>
  <w:num w:numId="9" w16cid:durableId="1305232670">
    <w:abstractNumId w:val="23"/>
  </w:num>
  <w:num w:numId="10" w16cid:durableId="2028941698">
    <w:abstractNumId w:val="2"/>
  </w:num>
  <w:num w:numId="11" w16cid:durableId="685055951">
    <w:abstractNumId w:val="31"/>
  </w:num>
  <w:num w:numId="12" w16cid:durableId="1693796029">
    <w:abstractNumId w:val="4"/>
  </w:num>
  <w:num w:numId="13" w16cid:durableId="1488281355">
    <w:abstractNumId w:val="36"/>
  </w:num>
  <w:num w:numId="14" w16cid:durableId="1127746351">
    <w:abstractNumId w:val="1"/>
  </w:num>
  <w:num w:numId="15" w16cid:durableId="1163937515">
    <w:abstractNumId w:val="30"/>
  </w:num>
  <w:num w:numId="16" w16cid:durableId="1995992187">
    <w:abstractNumId w:val="34"/>
  </w:num>
  <w:num w:numId="17" w16cid:durableId="950631868">
    <w:abstractNumId w:val="28"/>
  </w:num>
  <w:num w:numId="18" w16cid:durableId="1517035596">
    <w:abstractNumId w:val="22"/>
  </w:num>
  <w:num w:numId="19" w16cid:durableId="1614359465">
    <w:abstractNumId w:val="16"/>
  </w:num>
  <w:num w:numId="20" w16cid:durableId="839387076">
    <w:abstractNumId w:val="5"/>
  </w:num>
  <w:num w:numId="21" w16cid:durableId="1537111969">
    <w:abstractNumId w:val="12"/>
  </w:num>
  <w:num w:numId="22" w16cid:durableId="2022773969">
    <w:abstractNumId w:val="15"/>
  </w:num>
  <w:num w:numId="23" w16cid:durableId="547644220">
    <w:abstractNumId w:val="17"/>
  </w:num>
  <w:num w:numId="24" w16cid:durableId="313678777">
    <w:abstractNumId w:val="10"/>
  </w:num>
  <w:num w:numId="25" w16cid:durableId="80952899">
    <w:abstractNumId w:val="27"/>
  </w:num>
  <w:num w:numId="26" w16cid:durableId="2072842429">
    <w:abstractNumId w:val="25"/>
  </w:num>
  <w:num w:numId="27" w16cid:durableId="2086607144">
    <w:abstractNumId w:val="21"/>
  </w:num>
  <w:num w:numId="28" w16cid:durableId="1729299406">
    <w:abstractNumId w:val="6"/>
  </w:num>
  <w:num w:numId="29" w16cid:durableId="2028435484">
    <w:abstractNumId w:val="0"/>
  </w:num>
  <w:num w:numId="30" w16cid:durableId="433867396">
    <w:abstractNumId w:val="29"/>
  </w:num>
  <w:num w:numId="31" w16cid:durableId="1470515242">
    <w:abstractNumId w:val="20"/>
  </w:num>
  <w:num w:numId="32" w16cid:durableId="1174343212">
    <w:abstractNumId w:val="7"/>
  </w:num>
  <w:num w:numId="33" w16cid:durableId="796143920">
    <w:abstractNumId w:val="18"/>
  </w:num>
  <w:num w:numId="34" w16cid:durableId="2098281171">
    <w:abstractNumId w:val="35"/>
  </w:num>
  <w:num w:numId="35" w16cid:durableId="843669814">
    <w:abstractNumId w:val="9"/>
  </w:num>
  <w:num w:numId="36" w16cid:durableId="1609854869">
    <w:abstractNumId w:val="14"/>
  </w:num>
  <w:num w:numId="37" w16cid:durableId="107046875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33C7"/>
    <w:rsid w:val="0001683F"/>
    <w:rsid w:val="00020083"/>
    <w:rsid w:val="00020EE2"/>
    <w:rsid w:val="00033EE8"/>
    <w:rsid w:val="0003646D"/>
    <w:rsid w:val="000428D6"/>
    <w:rsid w:val="0004797B"/>
    <w:rsid w:val="000531A4"/>
    <w:rsid w:val="000803D3"/>
    <w:rsid w:val="00085B86"/>
    <w:rsid w:val="00090D5F"/>
    <w:rsid w:val="00091912"/>
    <w:rsid w:val="00094D5E"/>
    <w:rsid w:val="000B5014"/>
    <w:rsid w:val="000D07A6"/>
    <w:rsid w:val="000D4859"/>
    <w:rsid w:val="000E54AA"/>
    <w:rsid w:val="000E56E6"/>
    <w:rsid w:val="000F26CB"/>
    <w:rsid w:val="000F4F33"/>
    <w:rsid w:val="00107484"/>
    <w:rsid w:val="00114938"/>
    <w:rsid w:val="00121D1A"/>
    <w:rsid w:val="00131376"/>
    <w:rsid w:val="001331D9"/>
    <w:rsid w:val="00137B11"/>
    <w:rsid w:val="001542FF"/>
    <w:rsid w:val="00165017"/>
    <w:rsid w:val="00170BE8"/>
    <w:rsid w:val="00184B0B"/>
    <w:rsid w:val="001906D9"/>
    <w:rsid w:val="00192D85"/>
    <w:rsid w:val="001B47C5"/>
    <w:rsid w:val="001C3443"/>
    <w:rsid w:val="001C6AD6"/>
    <w:rsid w:val="001F3FBD"/>
    <w:rsid w:val="0020217A"/>
    <w:rsid w:val="00211956"/>
    <w:rsid w:val="00226856"/>
    <w:rsid w:val="00231D9A"/>
    <w:rsid w:val="00254BB7"/>
    <w:rsid w:val="002561E8"/>
    <w:rsid w:val="0026198C"/>
    <w:rsid w:val="00265A17"/>
    <w:rsid w:val="00266200"/>
    <w:rsid w:val="00291702"/>
    <w:rsid w:val="002A1528"/>
    <w:rsid w:val="002A5A0A"/>
    <w:rsid w:val="002B4658"/>
    <w:rsid w:val="002B581F"/>
    <w:rsid w:val="002C685E"/>
    <w:rsid w:val="002D5BAA"/>
    <w:rsid w:val="002F2953"/>
    <w:rsid w:val="002F5275"/>
    <w:rsid w:val="002F7B98"/>
    <w:rsid w:val="0030732A"/>
    <w:rsid w:val="003130FC"/>
    <w:rsid w:val="00324C14"/>
    <w:rsid w:val="00366A37"/>
    <w:rsid w:val="00371D5A"/>
    <w:rsid w:val="00390710"/>
    <w:rsid w:val="00392C61"/>
    <w:rsid w:val="003B7958"/>
    <w:rsid w:val="003C64C8"/>
    <w:rsid w:val="003F0BE6"/>
    <w:rsid w:val="003F1770"/>
    <w:rsid w:val="00402D8F"/>
    <w:rsid w:val="004033B4"/>
    <w:rsid w:val="00425A3B"/>
    <w:rsid w:val="00426325"/>
    <w:rsid w:val="0042696D"/>
    <w:rsid w:val="00477A91"/>
    <w:rsid w:val="004867DD"/>
    <w:rsid w:val="00491493"/>
    <w:rsid w:val="0049779C"/>
    <w:rsid w:val="004A6F71"/>
    <w:rsid w:val="004B5DBF"/>
    <w:rsid w:val="004C3BCE"/>
    <w:rsid w:val="004D0733"/>
    <w:rsid w:val="004D20A0"/>
    <w:rsid w:val="004D6BF0"/>
    <w:rsid w:val="004D6F63"/>
    <w:rsid w:val="00514C1A"/>
    <w:rsid w:val="00515EC6"/>
    <w:rsid w:val="00520329"/>
    <w:rsid w:val="00534131"/>
    <w:rsid w:val="00535D45"/>
    <w:rsid w:val="005411E9"/>
    <w:rsid w:val="00542876"/>
    <w:rsid w:val="00544CAA"/>
    <w:rsid w:val="00545283"/>
    <w:rsid w:val="00593230"/>
    <w:rsid w:val="005C156E"/>
    <w:rsid w:val="005C5C11"/>
    <w:rsid w:val="005D7959"/>
    <w:rsid w:val="005E1BA6"/>
    <w:rsid w:val="005F20CB"/>
    <w:rsid w:val="005F4EF2"/>
    <w:rsid w:val="005F6B75"/>
    <w:rsid w:val="005F7F01"/>
    <w:rsid w:val="006115FD"/>
    <w:rsid w:val="00616BF8"/>
    <w:rsid w:val="006323A4"/>
    <w:rsid w:val="0063414B"/>
    <w:rsid w:val="00645EB1"/>
    <w:rsid w:val="00667E6D"/>
    <w:rsid w:val="00673DF1"/>
    <w:rsid w:val="006759EC"/>
    <w:rsid w:val="00687B17"/>
    <w:rsid w:val="00692643"/>
    <w:rsid w:val="0069442A"/>
    <w:rsid w:val="006B408B"/>
    <w:rsid w:val="006B4506"/>
    <w:rsid w:val="006F2FF7"/>
    <w:rsid w:val="006F3F41"/>
    <w:rsid w:val="007127CB"/>
    <w:rsid w:val="00713883"/>
    <w:rsid w:val="00714A8C"/>
    <w:rsid w:val="007216DC"/>
    <w:rsid w:val="007223B4"/>
    <w:rsid w:val="00733DE5"/>
    <w:rsid w:val="007420BF"/>
    <w:rsid w:val="007765BD"/>
    <w:rsid w:val="00783059"/>
    <w:rsid w:val="0078667C"/>
    <w:rsid w:val="0079769E"/>
    <w:rsid w:val="007C0375"/>
    <w:rsid w:val="007F147F"/>
    <w:rsid w:val="00800EA8"/>
    <w:rsid w:val="008200CB"/>
    <w:rsid w:val="008401CF"/>
    <w:rsid w:val="008541B7"/>
    <w:rsid w:val="0088160A"/>
    <w:rsid w:val="00886909"/>
    <w:rsid w:val="008912B2"/>
    <w:rsid w:val="008A68A1"/>
    <w:rsid w:val="008D27CA"/>
    <w:rsid w:val="008F3B8D"/>
    <w:rsid w:val="00903D20"/>
    <w:rsid w:val="00906612"/>
    <w:rsid w:val="00937767"/>
    <w:rsid w:val="00937AE7"/>
    <w:rsid w:val="00940509"/>
    <w:rsid w:val="0094142F"/>
    <w:rsid w:val="00945A28"/>
    <w:rsid w:val="00962667"/>
    <w:rsid w:val="00980902"/>
    <w:rsid w:val="0098776A"/>
    <w:rsid w:val="009944C9"/>
    <w:rsid w:val="009C6502"/>
    <w:rsid w:val="009D024B"/>
    <w:rsid w:val="009E5DF1"/>
    <w:rsid w:val="009F0851"/>
    <w:rsid w:val="00A03DEC"/>
    <w:rsid w:val="00A376EA"/>
    <w:rsid w:val="00A5189B"/>
    <w:rsid w:val="00A67CEE"/>
    <w:rsid w:val="00A7584E"/>
    <w:rsid w:val="00A76D72"/>
    <w:rsid w:val="00A858B1"/>
    <w:rsid w:val="00A95B64"/>
    <w:rsid w:val="00AA523B"/>
    <w:rsid w:val="00AB1645"/>
    <w:rsid w:val="00AD63EA"/>
    <w:rsid w:val="00B04EC0"/>
    <w:rsid w:val="00B21AF9"/>
    <w:rsid w:val="00B453FA"/>
    <w:rsid w:val="00B4747E"/>
    <w:rsid w:val="00B51283"/>
    <w:rsid w:val="00B5432B"/>
    <w:rsid w:val="00B577D6"/>
    <w:rsid w:val="00B64842"/>
    <w:rsid w:val="00B73404"/>
    <w:rsid w:val="00B95186"/>
    <w:rsid w:val="00BA22D5"/>
    <w:rsid w:val="00BB3C91"/>
    <w:rsid w:val="00BC594E"/>
    <w:rsid w:val="00BE1780"/>
    <w:rsid w:val="00BE46D9"/>
    <w:rsid w:val="00C037EE"/>
    <w:rsid w:val="00C06406"/>
    <w:rsid w:val="00C10F2D"/>
    <w:rsid w:val="00C27384"/>
    <w:rsid w:val="00C70BDC"/>
    <w:rsid w:val="00C764C3"/>
    <w:rsid w:val="00C808BD"/>
    <w:rsid w:val="00C96DD2"/>
    <w:rsid w:val="00CA5D81"/>
    <w:rsid w:val="00CA6FC8"/>
    <w:rsid w:val="00CD6DB0"/>
    <w:rsid w:val="00CE7F1D"/>
    <w:rsid w:val="00CF5EF6"/>
    <w:rsid w:val="00CF7B0E"/>
    <w:rsid w:val="00D14C19"/>
    <w:rsid w:val="00D20CC0"/>
    <w:rsid w:val="00D26970"/>
    <w:rsid w:val="00D72CDD"/>
    <w:rsid w:val="00D80977"/>
    <w:rsid w:val="00D85FBA"/>
    <w:rsid w:val="00D8712E"/>
    <w:rsid w:val="00D87D1A"/>
    <w:rsid w:val="00D9316C"/>
    <w:rsid w:val="00DA654D"/>
    <w:rsid w:val="00DB1032"/>
    <w:rsid w:val="00DB5A1E"/>
    <w:rsid w:val="00DD3E97"/>
    <w:rsid w:val="00DD7B3A"/>
    <w:rsid w:val="00DE394E"/>
    <w:rsid w:val="00DE69AD"/>
    <w:rsid w:val="00E150C0"/>
    <w:rsid w:val="00E177C5"/>
    <w:rsid w:val="00E262A1"/>
    <w:rsid w:val="00E32AC4"/>
    <w:rsid w:val="00E35E4A"/>
    <w:rsid w:val="00E36087"/>
    <w:rsid w:val="00E768E6"/>
    <w:rsid w:val="00E81E1A"/>
    <w:rsid w:val="00EB23A5"/>
    <w:rsid w:val="00EC13C6"/>
    <w:rsid w:val="00EC7EE7"/>
    <w:rsid w:val="00EF3288"/>
    <w:rsid w:val="00F01531"/>
    <w:rsid w:val="00F35205"/>
    <w:rsid w:val="00F45AB3"/>
    <w:rsid w:val="00F57D9A"/>
    <w:rsid w:val="00F61312"/>
    <w:rsid w:val="00F81698"/>
    <w:rsid w:val="00F92FF8"/>
    <w:rsid w:val="00FA12C1"/>
    <w:rsid w:val="00FB22B9"/>
    <w:rsid w:val="00FE026E"/>
    <w:rsid w:val="00FE13FF"/>
    <w:rsid w:val="00FE5C14"/>
    <w:rsid w:val="00FF2DDC"/>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72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entrez/query.fcgi?cmd=Retrieve&amp;db=pubmed&amp;dopt=Abstract&amp;list_uids=3612999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2.xml><?xml version="1.0" encoding="utf-8"?>
<ds:datastoreItem xmlns:ds="http://schemas.openxmlformats.org/officeDocument/2006/customXml" ds:itemID="{CBAE9BEA-7C7A-4475-8F08-451CED70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2</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Weber, Elizabeth</cp:lastModifiedBy>
  <cp:revision>3</cp:revision>
  <cp:lastPrinted>2026-03-09T19:18:00Z</cp:lastPrinted>
  <dcterms:created xsi:type="dcterms:W3CDTF">2026-06-02T03:56:00Z</dcterms:created>
  <dcterms:modified xsi:type="dcterms:W3CDTF">2026-06-11T20:25:00Z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