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5542CCB3" w:rsidR="00E768E6" w:rsidRDefault="00B21AF9" w:rsidP="00513E86">
      <w:pPr>
        <w:pStyle w:val="Title"/>
        <w:spacing w:before="0" w:after="0"/>
      </w:pPr>
      <w:r>
        <w:t>E</w:t>
      </w:r>
      <w:r w:rsidR="21CF55F4">
        <w:t>VH</w:t>
      </w:r>
      <w:r>
        <w:t xml:space="preserve"> Clinical Guideline </w:t>
      </w:r>
      <w:r w:rsidR="00C03853">
        <w:t>5101</w:t>
      </w:r>
      <w:r w:rsidR="005F7F01">
        <w:t>.CC</w:t>
      </w:r>
      <w:r>
        <w:t xml:space="preserve"> for </w:t>
      </w:r>
      <w:r w:rsidR="00B30D81">
        <w:t>Cosentyx (</w:t>
      </w:r>
      <w:proofErr w:type="spellStart"/>
      <w:r w:rsidR="00B30D81">
        <w:t>secukinumab</w:t>
      </w:r>
      <w:proofErr w:type="spellEnd"/>
      <w:r w:rsidR="00B30D8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00D3805A"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C03853">
              <w:rPr>
                <w:b w:val="0"/>
                <w:bCs/>
              </w:rPr>
              <w:t>5101</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4C73CACC" w:rsidR="00E768E6" w:rsidRDefault="00B21AF9" w:rsidP="006F2FF7">
            <w:pPr>
              <w:pStyle w:val="TitleTable"/>
            </w:pPr>
            <w:r>
              <w:rPr>
                <w:i/>
                <w:iCs/>
              </w:rPr>
              <w:t>© 202</w:t>
            </w:r>
            <w:r w:rsidR="0058298E">
              <w:rPr>
                <w:i/>
                <w:iCs/>
              </w:rPr>
              <w:t>4</w:t>
            </w:r>
            <w:r w:rsidR="00B64842">
              <w:rPr>
                <w:i/>
                <w:iCs/>
              </w:rPr>
              <w:t xml:space="preserve"> </w:t>
            </w:r>
            <w:r w:rsidR="002B4658">
              <w:rPr>
                <w:i/>
                <w:iCs/>
              </w:rPr>
              <w:t>-</w:t>
            </w:r>
            <w:r w:rsidR="00B64842">
              <w:rPr>
                <w:i/>
                <w:iCs/>
              </w:rPr>
              <w:t xml:space="preserve"> 202</w:t>
            </w:r>
            <w:r w:rsidR="0058298E">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0B290E75" w:rsidR="00E768E6" w:rsidRPr="006F2FF7" w:rsidRDefault="0058298E" w:rsidP="006F2FF7">
            <w:pPr>
              <w:pStyle w:val="TitleTable"/>
              <w:rPr>
                <w:b w:val="0"/>
                <w:bCs/>
              </w:rPr>
            </w:pPr>
            <w:r>
              <w:rPr>
                <w:b w:val="0"/>
                <w:bCs/>
              </w:rPr>
              <w:t>October 2024</w:t>
            </w:r>
          </w:p>
        </w:tc>
        <w:tc>
          <w:tcPr>
            <w:tcW w:w="1686" w:type="pct"/>
          </w:tcPr>
          <w:p w14:paraId="50F6E751" w14:textId="77777777" w:rsidR="00E768E6" w:rsidRDefault="00B21AF9" w:rsidP="006F2FF7">
            <w:pPr>
              <w:pStyle w:val="TitleTable"/>
            </w:pPr>
            <w:r>
              <w:t>Last Revised Date:</w:t>
            </w:r>
          </w:p>
          <w:p w14:paraId="50F6E752" w14:textId="06F00854" w:rsidR="00E768E6" w:rsidRPr="006F2FF7" w:rsidRDefault="00513E86" w:rsidP="006F2FF7">
            <w:pPr>
              <w:pStyle w:val="TitleTable"/>
              <w:rPr>
                <w:b w:val="0"/>
                <w:bCs/>
              </w:rPr>
            </w:pPr>
            <w:r>
              <w:rPr>
                <w:b w:val="0"/>
                <w:bCs/>
              </w:rPr>
              <w:t>March</w:t>
            </w:r>
            <w:r w:rsidR="0058298E">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5A43BAC4" w:rsidR="00E768E6" w:rsidRPr="006F2FF7" w:rsidRDefault="00513E86" w:rsidP="006F2FF7">
            <w:pPr>
              <w:pStyle w:val="TitleTable"/>
              <w:rPr>
                <w:b w:val="0"/>
                <w:bCs/>
              </w:rPr>
            </w:pPr>
            <w:r>
              <w:rPr>
                <w:b w:val="0"/>
                <w:bCs/>
              </w:rPr>
              <w:t>June</w:t>
            </w:r>
            <w:r w:rsidR="0058298E">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199BEAC0" w14:textId="3A26DE9A" w:rsidR="008B7585"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252199" w:history="1">
            <w:r w:rsidR="008B7585" w:rsidRPr="00816295">
              <w:rPr>
                <w:rStyle w:val="Hyperlink"/>
                <w:noProof/>
              </w:rPr>
              <w:t>Statement</w:t>
            </w:r>
            <w:r w:rsidR="008B7585">
              <w:rPr>
                <w:noProof/>
                <w:webHidden/>
              </w:rPr>
              <w:tab/>
            </w:r>
            <w:r w:rsidR="008B7585">
              <w:rPr>
                <w:noProof/>
                <w:webHidden/>
              </w:rPr>
              <w:fldChar w:fldCharType="begin"/>
            </w:r>
            <w:r w:rsidR="008B7585">
              <w:rPr>
                <w:noProof/>
                <w:webHidden/>
              </w:rPr>
              <w:instrText xml:space="preserve"> PAGEREF _Toc225252199 \h </w:instrText>
            </w:r>
            <w:r w:rsidR="008B7585">
              <w:rPr>
                <w:noProof/>
                <w:webHidden/>
              </w:rPr>
            </w:r>
            <w:r w:rsidR="008B7585">
              <w:rPr>
                <w:noProof/>
                <w:webHidden/>
              </w:rPr>
              <w:fldChar w:fldCharType="separate"/>
            </w:r>
            <w:r w:rsidR="008B7585">
              <w:rPr>
                <w:noProof/>
                <w:webHidden/>
              </w:rPr>
              <w:t>3</w:t>
            </w:r>
            <w:r w:rsidR="008B7585">
              <w:rPr>
                <w:noProof/>
                <w:webHidden/>
              </w:rPr>
              <w:fldChar w:fldCharType="end"/>
            </w:r>
          </w:hyperlink>
        </w:p>
        <w:p w14:paraId="0D898173" w14:textId="465AD404"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0" w:history="1">
            <w:r w:rsidRPr="00816295">
              <w:rPr>
                <w:rStyle w:val="Hyperlink"/>
                <w:noProof/>
              </w:rPr>
              <w:t>General Information</w:t>
            </w:r>
            <w:r>
              <w:rPr>
                <w:noProof/>
                <w:webHidden/>
              </w:rPr>
              <w:tab/>
            </w:r>
            <w:r>
              <w:rPr>
                <w:noProof/>
                <w:webHidden/>
              </w:rPr>
              <w:fldChar w:fldCharType="begin"/>
            </w:r>
            <w:r>
              <w:rPr>
                <w:noProof/>
                <w:webHidden/>
              </w:rPr>
              <w:instrText xml:space="preserve"> PAGEREF _Toc225252200 \h </w:instrText>
            </w:r>
            <w:r>
              <w:rPr>
                <w:noProof/>
                <w:webHidden/>
              </w:rPr>
            </w:r>
            <w:r>
              <w:rPr>
                <w:noProof/>
                <w:webHidden/>
              </w:rPr>
              <w:fldChar w:fldCharType="separate"/>
            </w:r>
            <w:r>
              <w:rPr>
                <w:noProof/>
                <w:webHidden/>
              </w:rPr>
              <w:t>3</w:t>
            </w:r>
            <w:r>
              <w:rPr>
                <w:noProof/>
                <w:webHidden/>
              </w:rPr>
              <w:fldChar w:fldCharType="end"/>
            </w:r>
          </w:hyperlink>
        </w:p>
        <w:p w14:paraId="6F37C701" w14:textId="63159881"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1" w:history="1">
            <w:r w:rsidRPr="00816295">
              <w:rPr>
                <w:rStyle w:val="Hyperlink"/>
                <w:noProof/>
              </w:rPr>
              <w:t>Purpose</w:t>
            </w:r>
            <w:r>
              <w:rPr>
                <w:noProof/>
                <w:webHidden/>
              </w:rPr>
              <w:tab/>
            </w:r>
            <w:r>
              <w:rPr>
                <w:noProof/>
                <w:webHidden/>
              </w:rPr>
              <w:fldChar w:fldCharType="begin"/>
            </w:r>
            <w:r>
              <w:rPr>
                <w:noProof/>
                <w:webHidden/>
              </w:rPr>
              <w:instrText xml:space="preserve"> PAGEREF _Toc225252201 \h </w:instrText>
            </w:r>
            <w:r>
              <w:rPr>
                <w:noProof/>
                <w:webHidden/>
              </w:rPr>
            </w:r>
            <w:r>
              <w:rPr>
                <w:noProof/>
                <w:webHidden/>
              </w:rPr>
              <w:fldChar w:fldCharType="separate"/>
            </w:r>
            <w:r>
              <w:rPr>
                <w:noProof/>
                <w:webHidden/>
              </w:rPr>
              <w:t>3</w:t>
            </w:r>
            <w:r>
              <w:rPr>
                <w:noProof/>
                <w:webHidden/>
              </w:rPr>
              <w:fldChar w:fldCharType="end"/>
            </w:r>
          </w:hyperlink>
        </w:p>
        <w:p w14:paraId="49DA7456" w14:textId="655C9095"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2" w:history="1">
            <w:r w:rsidRPr="00816295">
              <w:rPr>
                <w:rStyle w:val="Hyperlink"/>
                <w:noProof/>
              </w:rPr>
              <w:t>Scope</w:t>
            </w:r>
            <w:r>
              <w:rPr>
                <w:noProof/>
                <w:webHidden/>
              </w:rPr>
              <w:tab/>
            </w:r>
            <w:r>
              <w:rPr>
                <w:noProof/>
                <w:webHidden/>
              </w:rPr>
              <w:fldChar w:fldCharType="begin"/>
            </w:r>
            <w:r>
              <w:rPr>
                <w:noProof/>
                <w:webHidden/>
              </w:rPr>
              <w:instrText xml:space="preserve"> PAGEREF _Toc225252202 \h </w:instrText>
            </w:r>
            <w:r>
              <w:rPr>
                <w:noProof/>
                <w:webHidden/>
              </w:rPr>
            </w:r>
            <w:r>
              <w:rPr>
                <w:noProof/>
                <w:webHidden/>
              </w:rPr>
              <w:fldChar w:fldCharType="separate"/>
            </w:r>
            <w:r>
              <w:rPr>
                <w:noProof/>
                <w:webHidden/>
              </w:rPr>
              <w:t>3</w:t>
            </w:r>
            <w:r>
              <w:rPr>
                <w:noProof/>
                <w:webHidden/>
              </w:rPr>
              <w:fldChar w:fldCharType="end"/>
            </w:r>
          </w:hyperlink>
        </w:p>
        <w:p w14:paraId="5CADF490" w14:textId="0DBDEC96"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03" w:history="1">
            <w:r w:rsidRPr="00816295">
              <w:rPr>
                <w:rStyle w:val="Hyperlink"/>
                <w:noProof/>
              </w:rPr>
              <w:t>INITIAL REVIEW CRITERIA</w:t>
            </w:r>
            <w:r>
              <w:rPr>
                <w:noProof/>
                <w:webHidden/>
              </w:rPr>
              <w:tab/>
            </w:r>
            <w:r>
              <w:rPr>
                <w:noProof/>
                <w:webHidden/>
              </w:rPr>
              <w:fldChar w:fldCharType="begin"/>
            </w:r>
            <w:r>
              <w:rPr>
                <w:noProof/>
                <w:webHidden/>
              </w:rPr>
              <w:instrText xml:space="preserve"> PAGEREF _Toc225252203 \h </w:instrText>
            </w:r>
            <w:r>
              <w:rPr>
                <w:noProof/>
                <w:webHidden/>
              </w:rPr>
            </w:r>
            <w:r>
              <w:rPr>
                <w:noProof/>
                <w:webHidden/>
              </w:rPr>
              <w:fldChar w:fldCharType="separate"/>
            </w:r>
            <w:r>
              <w:rPr>
                <w:noProof/>
                <w:webHidden/>
              </w:rPr>
              <w:t>3</w:t>
            </w:r>
            <w:r>
              <w:rPr>
                <w:noProof/>
                <w:webHidden/>
              </w:rPr>
              <w:fldChar w:fldCharType="end"/>
            </w:r>
          </w:hyperlink>
        </w:p>
        <w:p w14:paraId="188C12AE" w14:textId="446F075C"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4" w:history="1">
            <w:r w:rsidRPr="00816295">
              <w:rPr>
                <w:rStyle w:val="Hyperlink"/>
                <w:noProof/>
              </w:rPr>
              <w:t>General Criteria</w:t>
            </w:r>
            <w:r>
              <w:rPr>
                <w:noProof/>
                <w:webHidden/>
              </w:rPr>
              <w:tab/>
            </w:r>
            <w:r>
              <w:rPr>
                <w:noProof/>
                <w:webHidden/>
              </w:rPr>
              <w:fldChar w:fldCharType="begin"/>
            </w:r>
            <w:r>
              <w:rPr>
                <w:noProof/>
                <w:webHidden/>
              </w:rPr>
              <w:instrText xml:space="preserve"> PAGEREF _Toc225252204 \h </w:instrText>
            </w:r>
            <w:r>
              <w:rPr>
                <w:noProof/>
                <w:webHidden/>
              </w:rPr>
            </w:r>
            <w:r>
              <w:rPr>
                <w:noProof/>
                <w:webHidden/>
              </w:rPr>
              <w:fldChar w:fldCharType="separate"/>
            </w:r>
            <w:r>
              <w:rPr>
                <w:noProof/>
                <w:webHidden/>
              </w:rPr>
              <w:t>3</w:t>
            </w:r>
            <w:r>
              <w:rPr>
                <w:noProof/>
                <w:webHidden/>
              </w:rPr>
              <w:fldChar w:fldCharType="end"/>
            </w:r>
          </w:hyperlink>
        </w:p>
        <w:p w14:paraId="50B552EF" w14:textId="56FC931A"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5" w:history="1">
            <w:r w:rsidRPr="00816295">
              <w:rPr>
                <w:rStyle w:val="Hyperlink"/>
                <w:noProof/>
              </w:rPr>
              <w:t>Psoriatic Arthritis</w:t>
            </w:r>
            <w:r>
              <w:rPr>
                <w:noProof/>
                <w:webHidden/>
              </w:rPr>
              <w:tab/>
            </w:r>
            <w:r>
              <w:rPr>
                <w:noProof/>
                <w:webHidden/>
              </w:rPr>
              <w:fldChar w:fldCharType="begin"/>
            </w:r>
            <w:r>
              <w:rPr>
                <w:noProof/>
                <w:webHidden/>
              </w:rPr>
              <w:instrText xml:space="preserve"> PAGEREF _Toc225252205 \h </w:instrText>
            </w:r>
            <w:r>
              <w:rPr>
                <w:noProof/>
                <w:webHidden/>
              </w:rPr>
            </w:r>
            <w:r>
              <w:rPr>
                <w:noProof/>
                <w:webHidden/>
              </w:rPr>
              <w:fldChar w:fldCharType="separate"/>
            </w:r>
            <w:r>
              <w:rPr>
                <w:noProof/>
                <w:webHidden/>
              </w:rPr>
              <w:t>4</w:t>
            </w:r>
            <w:r>
              <w:rPr>
                <w:noProof/>
                <w:webHidden/>
              </w:rPr>
              <w:fldChar w:fldCharType="end"/>
            </w:r>
          </w:hyperlink>
        </w:p>
        <w:p w14:paraId="573B7DBA" w14:textId="602F3B3D"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6" w:history="1">
            <w:r w:rsidRPr="00816295">
              <w:rPr>
                <w:rStyle w:val="Hyperlink"/>
                <w:noProof/>
              </w:rPr>
              <w:t>Plaque Psoriasis</w:t>
            </w:r>
            <w:r>
              <w:rPr>
                <w:noProof/>
                <w:webHidden/>
              </w:rPr>
              <w:tab/>
            </w:r>
            <w:r>
              <w:rPr>
                <w:noProof/>
                <w:webHidden/>
              </w:rPr>
              <w:fldChar w:fldCharType="begin"/>
            </w:r>
            <w:r>
              <w:rPr>
                <w:noProof/>
                <w:webHidden/>
              </w:rPr>
              <w:instrText xml:space="preserve"> PAGEREF _Toc225252206 \h </w:instrText>
            </w:r>
            <w:r>
              <w:rPr>
                <w:noProof/>
                <w:webHidden/>
              </w:rPr>
            </w:r>
            <w:r>
              <w:rPr>
                <w:noProof/>
                <w:webHidden/>
              </w:rPr>
              <w:fldChar w:fldCharType="separate"/>
            </w:r>
            <w:r>
              <w:rPr>
                <w:noProof/>
                <w:webHidden/>
              </w:rPr>
              <w:t>4</w:t>
            </w:r>
            <w:r>
              <w:rPr>
                <w:noProof/>
                <w:webHidden/>
              </w:rPr>
              <w:fldChar w:fldCharType="end"/>
            </w:r>
          </w:hyperlink>
        </w:p>
        <w:p w14:paraId="20533FC9" w14:textId="21C0C3E0"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7" w:history="1">
            <w:r w:rsidRPr="00816295">
              <w:rPr>
                <w:rStyle w:val="Hyperlink"/>
                <w:noProof/>
              </w:rPr>
              <w:t>Ankylosing Spondylitis (AS) and non-radiographic axial spondyloarthritis (nr-axSpA)</w:t>
            </w:r>
            <w:r>
              <w:rPr>
                <w:noProof/>
                <w:webHidden/>
              </w:rPr>
              <w:tab/>
            </w:r>
            <w:r>
              <w:rPr>
                <w:noProof/>
                <w:webHidden/>
              </w:rPr>
              <w:fldChar w:fldCharType="begin"/>
            </w:r>
            <w:r>
              <w:rPr>
                <w:noProof/>
                <w:webHidden/>
              </w:rPr>
              <w:instrText xml:space="preserve"> PAGEREF _Toc225252207 \h </w:instrText>
            </w:r>
            <w:r>
              <w:rPr>
                <w:noProof/>
                <w:webHidden/>
              </w:rPr>
            </w:r>
            <w:r>
              <w:rPr>
                <w:noProof/>
                <w:webHidden/>
              </w:rPr>
              <w:fldChar w:fldCharType="separate"/>
            </w:r>
            <w:r>
              <w:rPr>
                <w:noProof/>
                <w:webHidden/>
              </w:rPr>
              <w:t>4</w:t>
            </w:r>
            <w:r>
              <w:rPr>
                <w:noProof/>
                <w:webHidden/>
              </w:rPr>
              <w:fldChar w:fldCharType="end"/>
            </w:r>
          </w:hyperlink>
        </w:p>
        <w:p w14:paraId="34C2B51F" w14:textId="2AC5596F"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8" w:history="1">
            <w:r w:rsidRPr="00816295">
              <w:rPr>
                <w:rStyle w:val="Hyperlink"/>
                <w:noProof/>
              </w:rPr>
              <w:t>Hidradenitis suppurativa</w:t>
            </w:r>
            <w:r>
              <w:rPr>
                <w:noProof/>
                <w:webHidden/>
              </w:rPr>
              <w:tab/>
            </w:r>
            <w:r>
              <w:rPr>
                <w:noProof/>
                <w:webHidden/>
              </w:rPr>
              <w:fldChar w:fldCharType="begin"/>
            </w:r>
            <w:r>
              <w:rPr>
                <w:noProof/>
                <w:webHidden/>
              </w:rPr>
              <w:instrText xml:space="preserve"> PAGEREF _Toc225252208 \h </w:instrText>
            </w:r>
            <w:r>
              <w:rPr>
                <w:noProof/>
                <w:webHidden/>
              </w:rPr>
            </w:r>
            <w:r>
              <w:rPr>
                <w:noProof/>
                <w:webHidden/>
              </w:rPr>
              <w:fldChar w:fldCharType="separate"/>
            </w:r>
            <w:r>
              <w:rPr>
                <w:noProof/>
                <w:webHidden/>
              </w:rPr>
              <w:t>4</w:t>
            </w:r>
            <w:r>
              <w:rPr>
                <w:noProof/>
                <w:webHidden/>
              </w:rPr>
              <w:fldChar w:fldCharType="end"/>
            </w:r>
          </w:hyperlink>
        </w:p>
        <w:p w14:paraId="2CAB3B75" w14:textId="7EA345EF"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09" w:history="1">
            <w:r w:rsidRPr="00816295">
              <w:rPr>
                <w:rStyle w:val="Hyperlink"/>
                <w:noProof/>
              </w:rPr>
              <w:t>Enthesitis-related arthritis (ERA)</w:t>
            </w:r>
            <w:r>
              <w:rPr>
                <w:noProof/>
                <w:webHidden/>
              </w:rPr>
              <w:tab/>
            </w:r>
            <w:r>
              <w:rPr>
                <w:noProof/>
                <w:webHidden/>
              </w:rPr>
              <w:fldChar w:fldCharType="begin"/>
            </w:r>
            <w:r>
              <w:rPr>
                <w:noProof/>
                <w:webHidden/>
              </w:rPr>
              <w:instrText xml:space="preserve"> PAGEREF _Toc225252209 \h </w:instrText>
            </w:r>
            <w:r>
              <w:rPr>
                <w:noProof/>
                <w:webHidden/>
              </w:rPr>
            </w:r>
            <w:r>
              <w:rPr>
                <w:noProof/>
                <w:webHidden/>
              </w:rPr>
              <w:fldChar w:fldCharType="separate"/>
            </w:r>
            <w:r>
              <w:rPr>
                <w:noProof/>
                <w:webHidden/>
              </w:rPr>
              <w:t>5</w:t>
            </w:r>
            <w:r>
              <w:rPr>
                <w:noProof/>
                <w:webHidden/>
              </w:rPr>
              <w:fldChar w:fldCharType="end"/>
            </w:r>
          </w:hyperlink>
        </w:p>
        <w:p w14:paraId="4014BF23" w14:textId="2D008328"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10" w:history="1">
            <w:r w:rsidRPr="00816295">
              <w:rPr>
                <w:rStyle w:val="Hyperlink"/>
                <w:noProof/>
              </w:rPr>
              <w:t>Reauthorization Criteria</w:t>
            </w:r>
            <w:r>
              <w:rPr>
                <w:noProof/>
                <w:webHidden/>
              </w:rPr>
              <w:tab/>
            </w:r>
            <w:r>
              <w:rPr>
                <w:noProof/>
                <w:webHidden/>
              </w:rPr>
              <w:fldChar w:fldCharType="begin"/>
            </w:r>
            <w:r>
              <w:rPr>
                <w:noProof/>
                <w:webHidden/>
              </w:rPr>
              <w:instrText xml:space="preserve"> PAGEREF _Toc225252210 \h </w:instrText>
            </w:r>
            <w:r>
              <w:rPr>
                <w:noProof/>
                <w:webHidden/>
              </w:rPr>
            </w:r>
            <w:r>
              <w:rPr>
                <w:noProof/>
                <w:webHidden/>
              </w:rPr>
              <w:fldChar w:fldCharType="separate"/>
            </w:r>
            <w:r>
              <w:rPr>
                <w:noProof/>
                <w:webHidden/>
              </w:rPr>
              <w:t>5</w:t>
            </w:r>
            <w:r>
              <w:rPr>
                <w:noProof/>
                <w:webHidden/>
              </w:rPr>
              <w:fldChar w:fldCharType="end"/>
            </w:r>
          </w:hyperlink>
        </w:p>
        <w:p w14:paraId="76F56E10" w14:textId="2B7E3699"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1" w:history="1">
            <w:r w:rsidRPr="00816295">
              <w:rPr>
                <w:rStyle w:val="Hyperlink"/>
                <w:noProof/>
              </w:rPr>
              <w:t>General Criteria</w:t>
            </w:r>
            <w:r>
              <w:rPr>
                <w:noProof/>
                <w:webHidden/>
              </w:rPr>
              <w:tab/>
            </w:r>
            <w:r>
              <w:rPr>
                <w:noProof/>
                <w:webHidden/>
              </w:rPr>
              <w:fldChar w:fldCharType="begin"/>
            </w:r>
            <w:r>
              <w:rPr>
                <w:noProof/>
                <w:webHidden/>
              </w:rPr>
              <w:instrText xml:space="preserve"> PAGEREF _Toc225252211 \h </w:instrText>
            </w:r>
            <w:r>
              <w:rPr>
                <w:noProof/>
                <w:webHidden/>
              </w:rPr>
            </w:r>
            <w:r>
              <w:rPr>
                <w:noProof/>
                <w:webHidden/>
              </w:rPr>
              <w:fldChar w:fldCharType="separate"/>
            </w:r>
            <w:r>
              <w:rPr>
                <w:noProof/>
                <w:webHidden/>
              </w:rPr>
              <w:t>5</w:t>
            </w:r>
            <w:r>
              <w:rPr>
                <w:noProof/>
                <w:webHidden/>
              </w:rPr>
              <w:fldChar w:fldCharType="end"/>
            </w:r>
          </w:hyperlink>
        </w:p>
        <w:p w14:paraId="408C5F89" w14:textId="60E53CB6"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2" w:history="1">
            <w:r w:rsidRPr="00816295">
              <w:rPr>
                <w:rStyle w:val="Hyperlink"/>
                <w:noProof/>
              </w:rPr>
              <w:t>Psoriatic Arthritis</w:t>
            </w:r>
            <w:r>
              <w:rPr>
                <w:noProof/>
                <w:webHidden/>
              </w:rPr>
              <w:tab/>
            </w:r>
            <w:r>
              <w:rPr>
                <w:noProof/>
                <w:webHidden/>
              </w:rPr>
              <w:fldChar w:fldCharType="begin"/>
            </w:r>
            <w:r>
              <w:rPr>
                <w:noProof/>
                <w:webHidden/>
              </w:rPr>
              <w:instrText xml:space="preserve"> PAGEREF _Toc225252212 \h </w:instrText>
            </w:r>
            <w:r>
              <w:rPr>
                <w:noProof/>
                <w:webHidden/>
              </w:rPr>
            </w:r>
            <w:r>
              <w:rPr>
                <w:noProof/>
                <w:webHidden/>
              </w:rPr>
              <w:fldChar w:fldCharType="separate"/>
            </w:r>
            <w:r>
              <w:rPr>
                <w:noProof/>
                <w:webHidden/>
              </w:rPr>
              <w:t>5</w:t>
            </w:r>
            <w:r>
              <w:rPr>
                <w:noProof/>
                <w:webHidden/>
              </w:rPr>
              <w:fldChar w:fldCharType="end"/>
            </w:r>
          </w:hyperlink>
        </w:p>
        <w:p w14:paraId="6439F132" w14:textId="05C8E399"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3" w:history="1">
            <w:r w:rsidRPr="00816295">
              <w:rPr>
                <w:rStyle w:val="Hyperlink"/>
                <w:noProof/>
              </w:rPr>
              <w:t>Plaque Psoriasis</w:t>
            </w:r>
            <w:r>
              <w:rPr>
                <w:noProof/>
                <w:webHidden/>
              </w:rPr>
              <w:tab/>
            </w:r>
            <w:r>
              <w:rPr>
                <w:noProof/>
                <w:webHidden/>
              </w:rPr>
              <w:fldChar w:fldCharType="begin"/>
            </w:r>
            <w:r>
              <w:rPr>
                <w:noProof/>
                <w:webHidden/>
              </w:rPr>
              <w:instrText xml:space="preserve"> PAGEREF _Toc225252213 \h </w:instrText>
            </w:r>
            <w:r>
              <w:rPr>
                <w:noProof/>
                <w:webHidden/>
              </w:rPr>
            </w:r>
            <w:r>
              <w:rPr>
                <w:noProof/>
                <w:webHidden/>
              </w:rPr>
              <w:fldChar w:fldCharType="separate"/>
            </w:r>
            <w:r>
              <w:rPr>
                <w:noProof/>
                <w:webHidden/>
              </w:rPr>
              <w:t>6</w:t>
            </w:r>
            <w:r>
              <w:rPr>
                <w:noProof/>
                <w:webHidden/>
              </w:rPr>
              <w:fldChar w:fldCharType="end"/>
            </w:r>
          </w:hyperlink>
        </w:p>
        <w:p w14:paraId="1DE6F09F" w14:textId="7851A7F4"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4" w:history="1">
            <w:r w:rsidRPr="00816295">
              <w:rPr>
                <w:rStyle w:val="Hyperlink"/>
                <w:noProof/>
              </w:rPr>
              <w:t>Ankylosing Spondylitis (AS) and non-radiographic axial spondyloarthritis (nr-axSpA)</w:t>
            </w:r>
            <w:r>
              <w:rPr>
                <w:noProof/>
                <w:webHidden/>
              </w:rPr>
              <w:tab/>
            </w:r>
            <w:r>
              <w:rPr>
                <w:noProof/>
                <w:webHidden/>
              </w:rPr>
              <w:fldChar w:fldCharType="begin"/>
            </w:r>
            <w:r>
              <w:rPr>
                <w:noProof/>
                <w:webHidden/>
              </w:rPr>
              <w:instrText xml:space="preserve"> PAGEREF _Toc225252214 \h </w:instrText>
            </w:r>
            <w:r>
              <w:rPr>
                <w:noProof/>
                <w:webHidden/>
              </w:rPr>
            </w:r>
            <w:r>
              <w:rPr>
                <w:noProof/>
                <w:webHidden/>
              </w:rPr>
              <w:fldChar w:fldCharType="separate"/>
            </w:r>
            <w:r>
              <w:rPr>
                <w:noProof/>
                <w:webHidden/>
              </w:rPr>
              <w:t>6</w:t>
            </w:r>
            <w:r>
              <w:rPr>
                <w:noProof/>
                <w:webHidden/>
              </w:rPr>
              <w:fldChar w:fldCharType="end"/>
            </w:r>
          </w:hyperlink>
        </w:p>
        <w:p w14:paraId="3FA9B4FD" w14:textId="31153DDE"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5" w:history="1">
            <w:r w:rsidRPr="00816295">
              <w:rPr>
                <w:rStyle w:val="Hyperlink"/>
                <w:noProof/>
              </w:rPr>
              <w:t>Hidradenitis suppurativa</w:t>
            </w:r>
            <w:r>
              <w:rPr>
                <w:noProof/>
                <w:webHidden/>
              </w:rPr>
              <w:tab/>
            </w:r>
            <w:r>
              <w:rPr>
                <w:noProof/>
                <w:webHidden/>
              </w:rPr>
              <w:fldChar w:fldCharType="begin"/>
            </w:r>
            <w:r>
              <w:rPr>
                <w:noProof/>
                <w:webHidden/>
              </w:rPr>
              <w:instrText xml:space="preserve"> PAGEREF _Toc225252215 \h </w:instrText>
            </w:r>
            <w:r>
              <w:rPr>
                <w:noProof/>
                <w:webHidden/>
              </w:rPr>
            </w:r>
            <w:r>
              <w:rPr>
                <w:noProof/>
                <w:webHidden/>
              </w:rPr>
              <w:fldChar w:fldCharType="separate"/>
            </w:r>
            <w:r>
              <w:rPr>
                <w:noProof/>
                <w:webHidden/>
              </w:rPr>
              <w:t>6</w:t>
            </w:r>
            <w:r>
              <w:rPr>
                <w:noProof/>
                <w:webHidden/>
              </w:rPr>
              <w:fldChar w:fldCharType="end"/>
            </w:r>
          </w:hyperlink>
        </w:p>
        <w:p w14:paraId="6C9134B6" w14:textId="0F074CB4"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16" w:history="1">
            <w:r w:rsidRPr="00816295">
              <w:rPr>
                <w:rStyle w:val="Hyperlink"/>
                <w:noProof/>
              </w:rPr>
              <w:t>Enthesitis-related arthritis (ERA)</w:t>
            </w:r>
            <w:r>
              <w:rPr>
                <w:noProof/>
                <w:webHidden/>
              </w:rPr>
              <w:tab/>
            </w:r>
            <w:r>
              <w:rPr>
                <w:noProof/>
                <w:webHidden/>
              </w:rPr>
              <w:fldChar w:fldCharType="begin"/>
            </w:r>
            <w:r>
              <w:rPr>
                <w:noProof/>
                <w:webHidden/>
              </w:rPr>
              <w:instrText xml:space="preserve"> PAGEREF _Toc225252216 \h </w:instrText>
            </w:r>
            <w:r>
              <w:rPr>
                <w:noProof/>
                <w:webHidden/>
              </w:rPr>
            </w:r>
            <w:r>
              <w:rPr>
                <w:noProof/>
                <w:webHidden/>
              </w:rPr>
              <w:fldChar w:fldCharType="separate"/>
            </w:r>
            <w:r>
              <w:rPr>
                <w:noProof/>
                <w:webHidden/>
              </w:rPr>
              <w:t>7</w:t>
            </w:r>
            <w:r>
              <w:rPr>
                <w:noProof/>
                <w:webHidden/>
              </w:rPr>
              <w:fldChar w:fldCharType="end"/>
            </w:r>
          </w:hyperlink>
        </w:p>
        <w:p w14:paraId="19A00C0D" w14:textId="4309DAE3"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17" w:history="1">
            <w:r w:rsidRPr="00816295">
              <w:rPr>
                <w:rStyle w:val="Hyperlink"/>
                <w:noProof/>
              </w:rPr>
              <w:t>Approval Durations</w:t>
            </w:r>
            <w:r>
              <w:rPr>
                <w:noProof/>
                <w:webHidden/>
              </w:rPr>
              <w:tab/>
            </w:r>
            <w:r>
              <w:rPr>
                <w:noProof/>
                <w:webHidden/>
              </w:rPr>
              <w:fldChar w:fldCharType="begin"/>
            </w:r>
            <w:r>
              <w:rPr>
                <w:noProof/>
                <w:webHidden/>
              </w:rPr>
              <w:instrText xml:space="preserve"> PAGEREF _Toc225252217 \h </w:instrText>
            </w:r>
            <w:r>
              <w:rPr>
                <w:noProof/>
                <w:webHidden/>
              </w:rPr>
            </w:r>
            <w:r>
              <w:rPr>
                <w:noProof/>
                <w:webHidden/>
              </w:rPr>
              <w:fldChar w:fldCharType="separate"/>
            </w:r>
            <w:r>
              <w:rPr>
                <w:noProof/>
                <w:webHidden/>
              </w:rPr>
              <w:t>7</w:t>
            </w:r>
            <w:r>
              <w:rPr>
                <w:noProof/>
                <w:webHidden/>
              </w:rPr>
              <w:fldChar w:fldCharType="end"/>
            </w:r>
          </w:hyperlink>
        </w:p>
        <w:p w14:paraId="2BFB11C9" w14:textId="7C31EF7E"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18" w:history="1">
            <w:r w:rsidRPr="00816295">
              <w:rPr>
                <w:rStyle w:val="Hyperlink"/>
                <w:noProof/>
              </w:rPr>
              <w:t>Appendices</w:t>
            </w:r>
            <w:r>
              <w:rPr>
                <w:noProof/>
                <w:webHidden/>
              </w:rPr>
              <w:tab/>
            </w:r>
            <w:r>
              <w:rPr>
                <w:noProof/>
                <w:webHidden/>
              </w:rPr>
              <w:fldChar w:fldCharType="begin"/>
            </w:r>
            <w:r>
              <w:rPr>
                <w:noProof/>
                <w:webHidden/>
              </w:rPr>
              <w:instrText xml:space="preserve"> PAGEREF _Toc225252218 \h </w:instrText>
            </w:r>
            <w:r>
              <w:rPr>
                <w:noProof/>
                <w:webHidden/>
              </w:rPr>
            </w:r>
            <w:r>
              <w:rPr>
                <w:noProof/>
                <w:webHidden/>
              </w:rPr>
              <w:fldChar w:fldCharType="separate"/>
            </w:r>
            <w:r>
              <w:rPr>
                <w:noProof/>
                <w:webHidden/>
              </w:rPr>
              <w:t>7</w:t>
            </w:r>
            <w:r>
              <w:rPr>
                <w:noProof/>
                <w:webHidden/>
              </w:rPr>
              <w:fldChar w:fldCharType="end"/>
            </w:r>
          </w:hyperlink>
        </w:p>
        <w:p w14:paraId="59E6154C" w14:textId="5FDDCEB5"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19" w:history="1">
            <w:r w:rsidRPr="00816295">
              <w:rPr>
                <w:rStyle w:val="Hyperlink"/>
                <w:noProof/>
              </w:rPr>
              <w:t>Coding and Standards</w:t>
            </w:r>
            <w:r>
              <w:rPr>
                <w:noProof/>
                <w:webHidden/>
              </w:rPr>
              <w:tab/>
            </w:r>
            <w:r>
              <w:rPr>
                <w:noProof/>
                <w:webHidden/>
              </w:rPr>
              <w:fldChar w:fldCharType="begin"/>
            </w:r>
            <w:r>
              <w:rPr>
                <w:noProof/>
                <w:webHidden/>
              </w:rPr>
              <w:instrText xml:space="preserve"> PAGEREF _Toc225252219 \h </w:instrText>
            </w:r>
            <w:r>
              <w:rPr>
                <w:noProof/>
                <w:webHidden/>
              </w:rPr>
            </w:r>
            <w:r>
              <w:rPr>
                <w:noProof/>
                <w:webHidden/>
              </w:rPr>
              <w:fldChar w:fldCharType="separate"/>
            </w:r>
            <w:r>
              <w:rPr>
                <w:noProof/>
                <w:webHidden/>
              </w:rPr>
              <w:t>8</w:t>
            </w:r>
            <w:r>
              <w:rPr>
                <w:noProof/>
                <w:webHidden/>
              </w:rPr>
              <w:fldChar w:fldCharType="end"/>
            </w:r>
          </w:hyperlink>
        </w:p>
        <w:p w14:paraId="6ACBF72C" w14:textId="22E6C8D8"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20" w:history="1">
            <w:r w:rsidRPr="00816295">
              <w:rPr>
                <w:rStyle w:val="Hyperlink"/>
                <w:noProof/>
              </w:rPr>
              <w:t>Codes</w:t>
            </w:r>
            <w:r>
              <w:rPr>
                <w:noProof/>
                <w:webHidden/>
              </w:rPr>
              <w:tab/>
            </w:r>
            <w:r>
              <w:rPr>
                <w:noProof/>
                <w:webHidden/>
              </w:rPr>
              <w:fldChar w:fldCharType="begin"/>
            </w:r>
            <w:r>
              <w:rPr>
                <w:noProof/>
                <w:webHidden/>
              </w:rPr>
              <w:instrText xml:space="preserve"> PAGEREF _Toc225252220 \h </w:instrText>
            </w:r>
            <w:r>
              <w:rPr>
                <w:noProof/>
                <w:webHidden/>
              </w:rPr>
            </w:r>
            <w:r>
              <w:rPr>
                <w:noProof/>
                <w:webHidden/>
              </w:rPr>
              <w:fldChar w:fldCharType="separate"/>
            </w:r>
            <w:r>
              <w:rPr>
                <w:noProof/>
                <w:webHidden/>
              </w:rPr>
              <w:t>8</w:t>
            </w:r>
            <w:r>
              <w:rPr>
                <w:noProof/>
                <w:webHidden/>
              </w:rPr>
              <w:fldChar w:fldCharType="end"/>
            </w:r>
          </w:hyperlink>
        </w:p>
        <w:p w14:paraId="2DD648C6" w14:textId="30FBF085"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21" w:history="1">
            <w:r w:rsidRPr="00816295">
              <w:rPr>
                <w:rStyle w:val="Hyperlink"/>
                <w:noProof/>
              </w:rPr>
              <w:t>Applicable Lines of Business</w:t>
            </w:r>
            <w:r>
              <w:rPr>
                <w:noProof/>
                <w:webHidden/>
              </w:rPr>
              <w:tab/>
            </w:r>
            <w:r>
              <w:rPr>
                <w:noProof/>
                <w:webHidden/>
              </w:rPr>
              <w:fldChar w:fldCharType="begin"/>
            </w:r>
            <w:r>
              <w:rPr>
                <w:noProof/>
                <w:webHidden/>
              </w:rPr>
              <w:instrText xml:space="preserve"> PAGEREF _Toc225252221 \h </w:instrText>
            </w:r>
            <w:r>
              <w:rPr>
                <w:noProof/>
                <w:webHidden/>
              </w:rPr>
            </w:r>
            <w:r>
              <w:rPr>
                <w:noProof/>
                <w:webHidden/>
              </w:rPr>
              <w:fldChar w:fldCharType="separate"/>
            </w:r>
            <w:r>
              <w:rPr>
                <w:noProof/>
                <w:webHidden/>
              </w:rPr>
              <w:t>8</w:t>
            </w:r>
            <w:r>
              <w:rPr>
                <w:noProof/>
                <w:webHidden/>
              </w:rPr>
              <w:fldChar w:fldCharType="end"/>
            </w:r>
          </w:hyperlink>
        </w:p>
        <w:p w14:paraId="10B29C17" w14:textId="5843985E"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22" w:history="1">
            <w:r w:rsidRPr="00816295">
              <w:rPr>
                <w:rStyle w:val="Hyperlink"/>
                <w:noProof/>
              </w:rPr>
              <w:t>Background</w:t>
            </w:r>
            <w:r>
              <w:rPr>
                <w:noProof/>
                <w:webHidden/>
              </w:rPr>
              <w:tab/>
            </w:r>
            <w:r>
              <w:rPr>
                <w:noProof/>
                <w:webHidden/>
              </w:rPr>
              <w:fldChar w:fldCharType="begin"/>
            </w:r>
            <w:r>
              <w:rPr>
                <w:noProof/>
                <w:webHidden/>
              </w:rPr>
              <w:instrText xml:space="preserve"> PAGEREF _Toc225252222 \h </w:instrText>
            </w:r>
            <w:r>
              <w:rPr>
                <w:noProof/>
                <w:webHidden/>
              </w:rPr>
            </w:r>
            <w:r>
              <w:rPr>
                <w:noProof/>
                <w:webHidden/>
              </w:rPr>
              <w:fldChar w:fldCharType="separate"/>
            </w:r>
            <w:r>
              <w:rPr>
                <w:noProof/>
                <w:webHidden/>
              </w:rPr>
              <w:t>8</w:t>
            </w:r>
            <w:r>
              <w:rPr>
                <w:noProof/>
                <w:webHidden/>
              </w:rPr>
              <w:fldChar w:fldCharType="end"/>
            </w:r>
          </w:hyperlink>
        </w:p>
        <w:p w14:paraId="2F1ACEC3" w14:textId="12242B0A"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23" w:history="1">
            <w:r w:rsidRPr="00816295">
              <w:rPr>
                <w:rStyle w:val="Hyperlink"/>
                <w:noProof/>
              </w:rPr>
              <w:t>Definitions</w:t>
            </w:r>
            <w:r>
              <w:rPr>
                <w:noProof/>
                <w:webHidden/>
              </w:rPr>
              <w:tab/>
            </w:r>
            <w:r>
              <w:rPr>
                <w:noProof/>
                <w:webHidden/>
              </w:rPr>
              <w:fldChar w:fldCharType="begin"/>
            </w:r>
            <w:r>
              <w:rPr>
                <w:noProof/>
                <w:webHidden/>
              </w:rPr>
              <w:instrText xml:space="preserve"> PAGEREF _Toc225252223 \h </w:instrText>
            </w:r>
            <w:r>
              <w:rPr>
                <w:noProof/>
                <w:webHidden/>
              </w:rPr>
            </w:r>
            <w:r>
              <w:rPr>
                <w:noProof/>
                <w:webHidden/>
              </w:rPr>
              <w:fldChar w:fldCharType="separate"/>
            </w:r>
            <w:r>
              <w:rPr>
                <w:noProof/>
                <w:webHidden/>
              </w:rPr>
              <w:t>8</w:t>
            </w:r>
            <w:r>
              <w:rPr>
                <w:noProof/>
                <w:webHidden/>
              </w:rPr>
              <w:fldChar w:fldCharType="end"/>
            </w:r>
          </w:hyperlink>
        </w:p>
        <w:p w14:paraId="327ACF5B" w14:textId="128E66BC"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24" w:history="1">
            <w:r w:rsidRPr="00816295">
              <w:rPr>
                <w:rStyle w:val="Hyperlink"/>
                <w:noProof/>
              </w:rPr>
              <w:t>Policy History</w:t>
            </w:r>
            <w:r>
              <w:rPr>
                <w:noProof/>
                <w:webHidden/>
              </w:rPr>
              <w:tab/>
            </w:r>
            <w:r>
              <w:rPr>
                <w:noProof/>
                <w:webHidden/>
              </w:rPr>
              <w:fldChar w:fldCharType="begin"/>
            </w:r>
            <w:r>
              <w:rPr>
                <w:noProof/>
                <w:webHidden/>
              </w:rPr>
              <w:instrText xml:space="preserve"> PAGEREF _Toc225252224 \h </w:instrText>
            </w:r>
            <w:r>
              <w:rPr>
                <w:noProof/>
                <w:webHidden/>
              </w:rPr>
            </w:r>
            <w:r>
              <w:rPr>
                <w:noProof/>
                <w:webHidden/>
              </w:rPr>
              <w:fldChar w:fldCharType="separate"/>
            </w:r>
            <w:r>
              <w:rPr>
                <w:noProof/>
                <w:webHidden/>
              </w:rPr>
              <w:t>9</w:t>
            </w:r>
            <w:r>
              <w:rPr>
                <w:noProof/>
                <w:webHidden/>
              </w:rPr>
              <w:fldChar w:fldCharType="end"/>
            </w:r>
          </w:hyperlink>
        </w:p>
        <w:p w14:paraId="2C719899" w14:textId="57AF714C"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25" w:history="1">
            <w:r w:rsidRPr="00816295">
              <w:rPr>
                <w:rStyle w:val="Hyperlink"/>
                <w:noProof/>
              </w:rPr>
              <w:t>Legal and Compliance</w:t>
            </w:r>
            <w:r>
              <w:rPr>
                <w:noProof/>
                <w:webHidden/>
              </w:rPr>
              <w:tab/>
            </w:r>
            <w:r>
              <w:rPr>
                <w:noProof/>
                <w:webHidden/>
              </w:rPr>
              <w:fldChar w:fldCharType="begin"/>
            </w:r>
            <w:r>
              <w:rPr>
                <w:noProof/>
                <w:webHidden/>
              </w:rPr>
              <w:instrText xml:space="preserve"> PAGEREF _Toc225252225 \h </w:instrText>
            </w:r>
            <w:r>
              <w:rPr>
                <w:noProof/>
                <w:webHidden/>
              </w:rPr>
            </w:r>
            <w:r>
              <w:rPr>
                <w:noProof/>
                <w:webHidden/>
              </w:rPr>
              <w:fldChar w:fldCharType="separate"/>
            </w:r>
            <w:r>
              <w:rPr>
                <w:noProof/>
                <w:webHidden/>
              </w:rPr>
              <w:t>9</w:t>
            </w:r>
            <w:r>
              <w:rPr>
                <w:noProof/>
                <w:webHidden/>
              </w:rPr>
              <w:fldChar w:fldCharType="end"/>
            </w:r>
          </w:hyperlink>
        </w:p>
        <w:p w14:paraId="1CF7E473" w14:textId="3D8548A7"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26" w:history="1">
            <w:r w:rsidRPr="00816295">
              <w:rPr>
                <w:rStyle w:val="Hyperlink"/>
                <w:noProof/>
              </w:rPr>
              <w:t>Guideline Approval</w:t>
            </w:r>
            <w:r>
              <w:rPr>
                <w:noProof/>
                <w:webHidden/>
              </w:rPr>
              <w:tab/>
            </w:r>
            <w:r>
              <w:rPr>
                <w:noProof/>
                <w:webHidden/>
              </w:rPr>
              <w:fldChar w:fldCharType="begin"/>
            </w:r>
            <w:r>
              <w:rPr>
                <w:noProof/>
                <w:webHidden/>
              </w:rPr>
              <w:instrText xml:space="preserve"> PAGEREF _Toc225252226 \h </w:instrText>
            </w:r>
            <w:r>
              <w:rPr>
                <w:noProof/>
                <w:webHidden/>
              </w:rPr>
            </w:r>
            <w:r>
              <w:rPr>
                <w:noProof/>
                <w:webHidden/>
              </w:rPr>
              <w:fldChar w:fldCharType="separate"/>
            </w:r>
            <w:r>
              <w:rPr>
                <w:noProof/>
                <w:webHidden/>
              </w:rPr>
              <w:t>9</w:t>
            </w:r>
            <w:r>
              <w:rPr>
                <w:noProof/>
                <w:webHidden/>
              </w:rPr>
              <w:fldChar w:fldCharType="end"/>
            </w:r>
          </w:hyperlink>
        </w:p>
        <w:p w14:paraId="6D03D276" w14:textId="01919025" w:rsidR="008B7585" w:rsidRDefault="008B7585">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252227" w:history="1">
            <w:r w:rsidRPr="00816295">
              <w:rPr>
                <w:rStyle w:val="Hyperlink"/>
                <w:noProof/>
              </w:rPr>
              <w:t>Committee</w:t>
            </w:r>
            <w:r>
              <w:rPr>
                <w:noProof/>
                <w:webHidden/>
              </w:rPr>
              <w:tab/>
            </w:r>
            <w:r>
              <w:rPr>
                <w:noProof/>
                <w:webHidden/>
              </w:rPr>
              <w:fldChar w:fldCharType="begin"/>
            </w:r>
            <w:r>
              <w:rPr>
                <w:noProof/>
                <w:webHidden/>
              </w:rPr>
              <w:instrText xml:space="preserve"> PAGEREF _Toc225252227 \h </w:instrText>
            </w:r>
            <w:r>
              <w:rPr>
                <w:noProof/>
                <w:webHidden/>
              </w:rPr>
            </w:r>
            <w:r>
              <w:rPr>
                <w:noProof/>
                <w:webHidden/>
              </w:rPr>
              <w:fldChar w:fldCharType="separate"/>
            </w:r>
            <w:r>
              <w:rPr>
                <w:noProof/>
                <w:webHidden/>
              </w:rPr>
              <w:t>9</w:t>
            </w:r>
            <w:r>
              <w:rPr>
                <w:noProof/>
                <w:webHidden/>
              </w:rPr>
              <w:fldChar w:fldCharType="end"/>
            </w:r>
          </w:hyperlink>
        </w:p>
        <w:p w14:paraId="46ADEC08" w14:textId="47F506AD" w:rsidR="008B7585" w:rsidRDefault="008B75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52228" w:history="1">
            <w:r w:rsidRPr="00816295">
              <w:rPr>
                <w:rStyle w:val="Hyperlink"/>
                <w:noProof/>
              </w:rPr>
              <w:t>Disclaimer</w:t>
            </w:r>
            <w:r>
              <w:rPr>
                <w:noProof/>
                <w:webHidden/>
              </w:rPr>
              <w:tab/>
            </w:r>
            <w:r>
              <w:rPr>
                <w:noProof/>
                <w:webHidden/>
              </w:rPr>
              <w:fldChar w:fldCharType="begin"/>
            </w:r>
            <w:r>
              <w:rPr>
                <w:noProof/>
                <w:webHidden/>
              </w:rPr>
              <w:instrText xml:space="preserve"> PAGEREF _Toc225252228 \h </w:instrText>
            </w:r>
            <w:r>
              <w:rPr>
                <w:noProof/>
                <w:webHidden/>
              </w:rPr>
            </w:r>
            <w:r>
              <w:rPr>
                <w:noProof/>
                <w:webHidden/>
              </w:rPr>
              <w:fldChar w:fldCharType="separate"/>
            </w:r>
            <w:r>
              <w:rPr>
                <w:noProof/>
                <w:webHidden/>
              </w:rPr>
              <w:t>9</w:t>
            </w:r>
            <w:r>
              <w:rPr>
                <w:noProof/>
                <w:webHidden/>
              </w:rPr>
              <w:fldChar w:fldCharType="end"/>
            </w:r>
          </w:hyperlink>
        </w:p>
        <w:p w14:paraId="1944CFCB" w14:textId="1648EE71" w:rsidR="008B7585" w:rsidRDefault="008B75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52229" w:history="1">
            <w:r w:rsidRPr="00816295">
              <w:rPr>
                <w:rStyle w:val="Hyperlink"/>
                <w:noProof/>
              </w:rPr>
              <w:t>References</w:t>
            </w:r>
            <w:r>
              <w:rPr>
                <w:noProof/>
                <w:webHidden/>
              </w:rPr>
              <w:tab/>
            </w:r>
            <w:r>
              <w:rPr>
                <w:noProof/>
                <w:webHidden/>
              </w:rPr>
              <w:fldChar w:fldCharType="begin"/>
            </w:r>
            <w:r>
              <w:rPr>
                <w:noProof/>
                <w:webHidden/>
              </w:rPr>
              <w:instrText xml:space="preserve"> PAGEREF _Toc225252229 \h </w:instrText>
            </w:r>
            <w:r>
              <w:rPr>
                <w:noProof/>
                <w:webHidden/>
              </w:rPr>
            </w:r>
            <w:r>
              <w:rPr>
                <w:noProof/>
                <w:webHidden/>
              </w:rPr>
              <w:fldChar w:fldCharType="separate"/>
            </w:r>
            <w:r>
              <w:rPr>
                <w:noProof/>
                <w:webHidden/>
              </w:rPr>
              <w:t>10</w:t>
            </w:r>
            <w:r>
              <w:rPr>
                <w:noProof/>
                <w:webHidden/>
              </w:rPr>
              <w:fldChar w:fldCharType="end"/>
            </w:r>
          </w:hyperlink>
        </w:p>
        <w:p w14:paraId="1A51577D" w14:textId="7FE44CE6"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25219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252200"/>
      <w:r>
        <w:t>General Information</w:t>
      </w:r>
      <w:bookmarkEnd w:id="2"/>
      <w:bookmarkEnd w:id="3"/>
    </w:p>
    <w:p w14:paraId="08B7F753" w14:textId="33833C1C" w:rsidR="00542876" w:rsidRDefault="00542876" w:rsidP="003B327C">
      <w:pPr>
        <w:pStyle w:val="paragraph"/>
        <w:numPr>
          <w:ilvl w:val="0"/>
          <w:numId w:val="3"/>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3B327C">
      <w:pPr>
        <w:pStyle w:val="paragraph"/>
        <w:numPr>
          <w:ilvl w:val="0"/>
          <w:numId w:val="3"/>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252201"/>
      <w:r>
        <w:t>Purpose</w:t>
      </w:r>
      <w:bookmarkEnd w:id="4"/>
      <w:bookmarkEnd w:id="5"/>
    </w:p>
    <w:p w14:paraId="01CC9B8E" w14:textId="64CD9DB8"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r w:rsidR="00B30D81">
        <w:rPr>
          <w:color w:val="000000" w:themeColor="text1"/>
        </w:rPr>
        <w:t>Cosentyx (</w:t>
      </w:r>
      <w:proofErr w:type="spellStart"/>
      <w:r w:rsidR="00B30D81">
        <w:rPr>
          <w:color w:val="000000" w:themeColor="text1"/>
        </w:rPr>
        <w:t>secukinumab</w:t>
      </w:r>
      <w:proofErr w:type="spellEnd"/>
      <w:r w:rsidR="00B30D81">
        <w:rPr>
          <w:color w:val="000000" w:themeColor="text1"/>
        </w:rPr>
        <w:t>)</w:t>
      </w:r>
      <w:r w:rsidRPr="7A2049BD">
        <w:rPr>
          <w:color w:val="000000" w:themeColor="text1"/>
        </w:rPr>
        <w:t>.</w:t>
      </w:r>
    </w:p>
    <w:p w14:paraId="50F6E761" w14:textId="77777777" w:rsidR="00E768E6" w:rsidRDefault="00B21AF9">
      <w:pPr>
        <w:pStyle w:val="Heading2"/>
      </w:pPr>
      <w:bookmarkStart w:id="7" w:name="_Toc225252202"/>
      <w:r>
        <w:t>Scope</w:t>
      </w:r>
      <w:bookmarkEnd w:id="6"/>
      <w:bookmarkEnd w:id="7"/>
    </w:p>
    <w:p w14:paraId="0C5475CC" w14:textId="78A46839"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252203"/>
      <w:bookmarkEnd w:id="8"/>
      <w:r>
        <w:t>I</w:t>
      </w:r>
      <w:bookmarkEnd w:id="9"/>
      <w:r w:rsidR="008541B7">
        <w:t>NITIAL REVIEW CRITERIA</w:t>
      </w:r>
      <w:bookmarkEnd w:id="10"/>
    </w:p>
    <w:p w14:paraId="5DFD4335" w14:textId="7358D17A" w:rsidR="002B581F" w:rsidRP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listed under the General Criteria </w:t>
      </w:r>
      <w:r>
        <w:rPr>
          <w:b/>
          <w:bCs/>
          <w:i/>
          <w:iCs/>
          <w:color w:val="000000"/>
        </w:rPr>
        <w:t xml:space="preserve">and </w:t>
      </w:r>
      <w:r>
        <w:rPr>
          <w:color w:val="000000"/>
        </w:rPr>
        <w:t xml:space="preserve">diagnosis-specific sections below. </w:t>
      </w:r>
    </w:p>
    <w:p w14:paraId="7491DA9A" w14:textId="77777777" w:rsidR="006629B9" w:rsidRPr="00CD1600" w:rsidRDefault="002B581F" w:rsidP="00CD1600">
      <w:pPr>
        <w:pStyle w:val="Heading2"/>
      </w:pPr>
      <w:bookmarkStart w:id="11" w:name="_Toc225252204"/>
      <w:bookmarkStart w:id="12" w:name="59e66837-f347-4cba-ad06-9c8898541074"/>
      <w:r w:rsidRPr="00CD1600">
        <w:t>General Criteria</w:t>
      </w:r>
      <w:bookmarkEnd w:id="11"/>
      <w:r w:rsidRPr="00CD1600">
        <w:t xml:space="preserve"> </w:t>
      </w:r>
    </w:p>
    <w:p w14:paraId="260D7A8E" w14:textId="062245CE" w:rsidR="00B30D81" w:rsidRPr="00B30D81" w:rsidRDefault="00B30D81" w:rsidP="00FA3210">
      <w:pPr>
        <w:pStyle w:val="ListParagraph"/>
        <w:numPr>
          <w:ilvl w:val="0"/>
          <w:numId w:val="2"/>
        </w:numPr>
        <w:rPr>
          <w:color w:val="000000"/>
        </w:rPr>
      </w:pPr>
      <w:r w:rsidRPr="00B30D81">
        <w:rPr>
          <w:color w:val="000000"/>
        </w:rPr>
        <w:t>Must have a negative tuberculosis</w:t>
      </w:r>
      <w:r w:rsidR="00AC50C6">
        <w:rPr>
          <w:color w:val="000000"/>
        </w:rPr>
        <w:t xml:space="preserve"> (TB)</w:t>
      </w:r>
      <w:r w:rsidRPr="00B30D81">
        <w:rPr>
          <w:color w:val="000000"/>
        </w:rPr>
        <w:t xml:space="preserve"> skin test collected within the last </w:t>
      </w:r>
      <w:r w:rsidR="00AC50C6">
        <w:rPr>
          <w:color w:val="000000"/>
        </w:rPr>
        <w:t>six</w:t>
      </w:r>
      <w:r w:rsidRPr="00B30D81">
        <w:rPr>
          <w:color w:val="000000"/>
        </w:rPr>
        <w:t xml:space="preserve"> months </w:t>
      </w:r>
    </w:p>
    <w:p w14:paraId="6E235BF8" w14:textId="2A361942" w:rsidR="00B30D81" w:rsidRPr="00B30D81" w:rsidRDefault="00AC50C6" w:rsidP="00FA3210">
      <w:pPr>
        <w:pStyle w:val="ListParagraph"/>
        <w:numPr>
          <w:ilvl w:val="1"/>
          <w:numId w:val="2"/>
        </w:numPr>
        <w:rPr>
          <w:color w:val="000000"/>
        </w:rPr>
      </w:pPr>
      <w:r>
        <w:rPr>
          <w:color w:val="000000"/>
        </w:rPr>
        <w:t>A</w:t>
      </w:r>
      <w:r w:rsidR="00B30D81" w:rsidRPr="00B30D81">
        <w:rPr>
          <w:color w:val="000000"/>
        </w:rPr>
        <w:t>cceptable testing includes the</w:t>
      </w:r>
      <w:r w:rsidR="00B30D81" w:rsidRPr="00A563F9">
        <w:rPr>
          <w:color w:val="000000"/>
        </w:rPr>
        <w:t> </w:t>
      </w:r>
      <w:r w:rsidR="00B30D81" w:rsidRPr="00B30D81">
        <w:rPr>
          <w:color w:val="000000"/>
        </w:rPr>
        <w:t>Tuberculin PPD (purified protein derivative) test or Interferon-Gamma Release Assay (IGRA) whole-blood test [such as QuantiFERON</w:t>
      </w:r>
      <w:r w:rsidR="00B30D81" w:rsidRPr="00B30D81">
        <w:rPr>
          <w:color w:val="000000"/>
          <w:vertAlign w:val="superscript"/>
        </w:rPr>
        <w:t>®</w:t>
      </w:r>
      <w:r w:rsidR="00B30D81" w:rsidRPr="00B30D81">
        <w:rPr>
          <w:color w:val="000000"/>
        </w:rPr>
        <w:t>-TB Gold In-Tube test (QFT-GIT) or T-SPOT</w:t>
      </w:r>
      <w:r w:rsidR="00B30D81" w:rsidRPr="00B30D81">
        <w:rPr>
          <w:color w:val="000000"/>
          <w:vertAlign w:val="superscript"/>
        </w:rPr>
        <w:t>®</w:t>
      </w:r>
      <w:r w:rsidR="00B30D81" w:rsidRPr="00B30D81">
        <w:rPr>
          <w:color w:val="000000"/>
        </w:rPr>
        <w:t>.</w:t>
      </w:r>
      <w:r w:rsidR="00B30D81" w:rsidRPr="00B30D81">
        <w:rPr>
          <w:i/>
          <w:iCs/>
          <w:color w:val="000000"/>
        </w:rPr>
        <w:t>TB </w:t>
      </w:r>
      <w:r w:rsidR="00B30D81" w:rsidRPr="00B30D81">
        <w:rPr>
          <w:color w:val="000000"/>
        </w:rPr>
        <w:t>test (T-Spot)]    </w:t>
      </w:r>
    </w:p>
    <w:p w14:paraId="671D2EC0" w14:textId="2EB7A909" w:rsidR="00B30D81" w:rsidRPr="00B30D81" w:rsidRDefault="00B30D81" w:rsidP="00FA3210">
      <w:pPr>
        <w:pStyle w:val="ListParagraph"/>
        <w:numPr>
          <w:ilvl w:val="0"/>
          <w:numId w:val="2"/>
        </w:numPr>
        <w:rPr>
          <w:color w:val="000000"/>
        </w:rPr>
      </w:pPr>
      <w:r w:rsidRPr="00B30D81">
        <w:rPr>
          <w:color w:val="000000"/>
        </w:rPr>
        <w:t>Must not be used in combination with a biologic DMARD or a targeted synthetic DMARD [such as Xeljanz (tofacitinib), Olumiant (</w:t>
      </w:r>
      <w:r w:rsidR="00AC50C6">
        <w:rPr>
          <w:color w:val="000000"/>
        </w:rPr>
        <w:t>baricitinib</w:t>
      </w:r>
      <w:r w:rsidRPr="00B30D81">
        <w:rPr>
          <w:color w:val="000000"/>
        </w:rPr>
        <w:t>)</w:t>
      </w:r>
      <w:r w:rsidRPr="00B30D81">
        <w:rPr>
          <w:color w:val="000000"/>
        </w:rPr>
        <w:t>,</w:t>
      </w:r>
      <w:r w:rsidRPr="00B30D81">
        <w:rPr>
          <w:color w:val="000000"/>
        </w:rPr>
        <w:t xml:space="preserve"> or Otezla (apremilast)] </w:t>
      </w:r>
    </w:p>
    <w:p w14:paraId="65977522" w14:textId="7A6B8A14" w:rsidR="00B30D81" w:rsidRPr="00B30D81" w:rsidRDefault="00B30D81" w:rsidP="00FA3210">
      <w:pPr>
        <w:pStyle w:val="ListParagraph"/>
        <w:numPr>
          <w:ilvl w:val="0"/>
          <w:numId w:val="2"/>
        </w:numPr>
        <w:rPr>
          <w:color w:val="000000"/>
        </w:rPr>
      </w:pPr>
      <w:r w:rsidRPr="00B30D81">
        <w:rPr>
          <w:color w:val="000000"/>
        </w:rPr>
        <w:t>Must be prescribed at a dose within the manufacturer’s dosing guidelines (based on diagnosis, weight, etc.) listed in the FDA</w:t>
      </w:r>
      <w:r w:rsidR="002E780A">
        <w:rPr>
          <w:color w:val="000000"/>
        </w:rPr>
        <w:t>-</w:t>
      </w:r>
      <w:r w:rsidRPr="00B30D81">
        <w:rPr>
          <w:color w:val="000000"/>
        </w:rPr>
        <w:t>approved labeling</w:t>
      </w:r>
    </w:p>
    <w:p w14:paraId="3CEF16D8" w14:textId="505BF1B8" w:rsidR="00B30D81" w:rsidRPr="00CD1600" w:rsidRDefault="00B30D81" w:rsidP="002A31A9">
      <w:pPr>
        <w:pStyle w:val="Heading2"/>
        <w:keepNext/>
      </w:pPr>
      <w:bookmarkStart w:id="13" w:name="_Toc225252205"/>
      <w:r w:rsidRPr="00CD1600">
        <w:t xml:space="preserve">Psoriatic </w:t>
      </w:r>
      <w:r w:rsidRPr="00CD1600">
        <w:t>A</w:t>
      </w:r>
      <w:r w:rsidRPr="00CD1600">
        <w:t>rthritis</w:t>
      </w:r>
      <w:bookmarkEnd w:id="13"/>
    </w:p>
    <w:p w14:paraId="3B4C1E08" w14:textId="77777777" w:rsidR="00B30D81" w:rsidRPr="00B30D81" w:rsidRDefault="00B30D81" w:rsidP="00FA3210">
      <w:pPr>
        <w:pStyle w:val="ListParagraph"/>
        <w:numPr>
          <w:ilvl w:val="0"/>
          <w:numId w:val="2"/>
        </w:numPr>
        <w:rPr>
          <w:color w:val="000000"/>
        </w:rPr>
      </w:pPr>
      <w:r w:rsidRPr="00B30D81">
        <w:rPr>
          <w:color w:val="000000"/>
        </w:rPr>
        <w:t>Must be prescribed by</w:t>
      </w:r>
      <w:r w:rsidRPr="00B30D81">
        <w:rPr>
          <w:color w:val="000000"/>
        </w:rPr>
        <w:t>,</w:t>
      </w:r>
      <w:r w:rsidRPr="00B30D81">
        <w:rPr>
          <w:color w:val="000000"/>
        </w:rPr>
        <w:t xml:space="preserve"> or in consultation with</w:t>
      </w:r>
      <w:r w:rsidRPr="00B30D81">
        <w:rPr>
          <w:color w:val="000000"/>
        </w:rPr>
        <w:t>,</w:t>
      </w:r>
      <w:r w:rsidRPr="00B30D81">
        <w:rPr>
          <w:color w:val="000000"/>
        </w:rPr>
        <w:t> a rheumatologist or dermatologist  </w:t>
      </w:r>
    </w:p>
    <w:p w14:paraId="7228F045" w14:textId="72F0FDC4" w:rsidR="00B30D81" w:rsidRPr="00B30D81" w:rsidRDefault="00B30D81" w:rsidP="00FA3210">
      <w:pPr>
        <w:pStyle w:val="ListParagraph"/>
        <w:numPr>
          <w:ilvl w:val="0"/>
          <w:numId w:val="2"/>
        </w:numPr>
        <w:rPr>
          <w:color w:val="000000"/>
        </w:rPr>
      </w:pPr>
      <w:r w:rsidRPr="00B30D81">
        <w:rPr>
          <w:color w:val="000000"/>
        </w:rPr>
        <w:t>Must be age 2</w:t>
      </w:r>
      <w:r w:rsidR="00A563F9">
        <w:rPr>
          <w:color w:val="000000"/>
        </w:rPr>
        <w:t xml:space="preserve"> </w:t>
      </w:r>
      <w:r w:rsidRPr="00B30D81">
        <w:rPr>
          <w:color w:val="000000"/>
        </w:rPr>
        <w:t>or older  </w:t>
      </w:r>
    </w:p>
    <w:p w14:paraId="27967F54" w14:textId="1805B706" w:rsidR="00B30D81" w:rsidRPr="00B30D81" w:rsidRDefault="00B30D81" w:rsidP="00FA3210">
      <w:pPr>
        <w:pStyle w:val="ListParagraph"/>
        <w:numPr>
          <w:ilvl w:val="0"/>
          <w:numId w:val="2"/>
        </w:numPr>
        <w:rPr>
          <w:color w:val="000000"/>
        </w:rPr>
      </w:pPr>
      <w:r w:rsidRPr="00B30D81">
        <w:rPr>
          <w:color w:val="000000"/>
        </w:rPr>
        <w:t>Must have a diagnosis of active psoriatic arthritis with the severity of disease documented   </w:t>
      </w:r>
    </w:p>
    <w:p w14:paraId="539F8185" w14:textId="77777777" w:rsidR="00B30D81" w:rsidRPr="00B30D81" w:rsidRDefault="00B30D81" w:rsidP="00FA3210">
      <w:pPr>
        <w:pStyle w:val="ListParagraph"/>
        <w:numPr>
          <w:ilvl w:val="0"/>
          <w:numId w:val="2"/>
        </w:numPr>
        <w:rPr>
          <w:color w:val="000000"/>
        </w:rPr>
      </w:pPr>
      <w:r w:rsidRPr="00B30D81">
        <w:rPr>
          <w:color w:val="000000"/>
        </w:rPr>
        <w:lastRenderedPageBreak/>
        <w:t>For mild-to-moderate disease </w:t>
      </w:r>
      <w:r w:rsidRPr="00B30D81">
        <w:rPr>
          <w:i/>
          <w:iCs/>
          <w:color w:val="000000"/>
        </w:rPr>
        <w:t>only</w:t>
      </w:r>
      <w:r w:rsidRPr="00B30D81">
        <w:rPr>
          <w:color w:val="000000"/>
        </w:rPr>
        <w:t>, must have ONE of the following:  </w:t>
      </w:r>
    </w:p>
    <w:p w14:paraId="2938BA83" w14:textId="65062865" w:rsidR="00B30D81" w:rsidRPr="00B30D81" w:rsidRDefault="00B30D81" w:rsidP="00FA3210">
      <w:pPr>
        <w:pStyle w:val="ListParagraph"/>
        <w:numPr>
          <w:ilvl w:val="1"/>
          <w:numId w:val="2"/>
        </w:numPr>
        <w:rPr>
          <w:color w:val="000000"/>
        </w:rPr>
      </w:pPr>
      <w:r w:rsidRPr="00B30D81">
        <w:rPr>
          <w:color w:val="000000"/>
        </w:rPr>
        <w:t>Must have had an inadequate response to methotrexate, leflunomide</w:t>
      </w:r>
      <w:r w:rsidRPr="00B30D81">
        <w:rPr>
          <w:color w:val="000000"/>
        </w:rPr>
        <w:t xml:space="preserve">, </w:t>
      </w:r>
      <w:r w:rsidRPr="00B30D81">
        <w:rPr>
          <w:color w:val="000000"/>
        </w:rPr>
        <w:t>or another conventional synthetic drug (e.g., sulfasalazine) or have a contraindication or intolerance to all drugs (see </w:t>
      </w:r>
      <w:hyperlink r:id="rId11" w:tgtFrame="_blank" w:history="1">
        <w:r w:rsidRPr="00B30D81">
          <w:rPr>
            <w:rStyle w:val="Hyperlink"/>
          </w:rPr>
          <w:t>Appendix 1</w:t>
        </w:r>
      </w:hyperlink>
      <w:r w:rsidRPr="00B30D81">
        <w:rPr>
          <w:color w:val="000000"/>
        </w:rPr>
        <w:t>) </w:t>
      </w:r>
    </w:p>
    <w:p w14:paraId="4A78A41E" w14:textId="5D6BD7FA" w:rsidR="00B30D81" w:rsidRPr="003618DD" w:rsidRDefault="00B30D81" w:rsidP="00FA3210">
      <w:pPr>
        <w:pStyle w:val="ListParagraph"/>
        <w:numPr>
          <w:ilvl w:val="1"/>
          <w:numId w:val="2"/>
        </w:numPr>
        <w:rPr>
          <w:color w:val="000000"/>
        </w:rPr>
      </w:pPr>
      <w:r w:rsidRPr="00B30D81">
        <w:rPr>
          <w:color w:val="000000"/>
        </w:rPr>
        <w:t>Must have enthesitis or predominantly axial disease </w:t>
      </w:r>
    </w:p>
    <w:p w14:paraId="113CFF2D" w14:textId="240C0B34" w:rsidR="00B30D81" w:rsidRPr="00CD1600" w:rsidRDefault="00B30D81" w:rsidP="00CD1600">
      <w:pPr>
        <w:pStyle w:val="Heading2"/>
      </w:pPr>
      <w:bookmarkStart w:id="14" w:name="_Toc225252206"/>
      <w:r w:rsidRPr="00CD1600">
        <w:t xml:space="preserve">Plaque </w:t>
      </w:r>
      <w:r w:rsidRPr="00CD1600">
        <w:t>P</w:t>
      </w:r>
      <w:r w:rsidRPr="00CD1600">
        <w:t>soriasis</w:t>
      </w:r>
      <w:bookmarkEnd w:id="14"/>
      <w:r w:rsidRPr="00CD1600">
        <w:t> </w:t>
      </w:r>
    </w:p>
    <w:p w14:paraId="6C160EE7" w14:textId="54ECE860" w:rsidR="00B30D81" w:rsidRPr="00B30D81" w:rsidRDefault="00B30D81" w:rsidP="00FA3210">
      <w:pPr>
        <w:pStyle w:val="ListParagraph"/>
        <w:numPr>
          <w:ilvl w:val="0"/>
          <w:numId w:val="2"/>
        </w:numPr>
        <w:rPr>
          <w:color w:val="000000"/>
        </w:rPr>
      </w:pPr>
      <w:r w:rsidRPr="00B30D81">
        <w:rPr>
          <w:color w:val="000000"/>
        </w:rPr>
        <w:t>Must be prescribed by</w:t>
      </w:r>
      <w:r w:rsidRPr="00B30D81">
        <w:rPr>
          <w:color w:val="000000"/>
        </w:rPr>
        <w:t>,</w:t>
      </w:r>
      <w:r w:rsidRPr="00B30D81">
        <w:rPr>
          <w:color w:val="000000"/>
        </w:rPr>
        <w:t xml:space="preserve"> or in consultation with</w:t>
      </w:r>
      <w:r w:rsidRPr="00B30D81">
        <w:rPr>
          <w:color w:val="000000"/>
        </w:rPr>
        <w:t>,</w:t>
      </w:r>
      <w:r w:rsidRPr="00B30D81">
        <w:rPr>
          <w:color w:val="000000"/>
        </w:rPr>
        <w:t> a dermatologist  </w:t>
      </w:r>
    </w:p>
    <w:p w14:paraId="25469E8B" w14:textId="4AE677A4" w:rsidR="00B30D81" w:rsidRPr="00B30D81" w:rsidRDefault="00B30D81" w:rsidP="00FA3210">
      <w:pPr>
        <w:pStyle w:val="ListParagraph"/>
        <w:numPr>
          <w:ilvl w:val="0"/>
          <w:numId w:val="2"/>
        </w:numPr>
        <w:rPr>
          <w:color w:val="000000"/>
        </w:rPr>
      </w:pPr>
      <w:r w:rsidRPr="00B30D81">
        <w:rPr>
          <w:color w:val="000000"/>
        </w:rPr>
        <w:t>Must be age </w:t>
      </w:r>
      <w:proofErr w:type="gramStart"/>
      <w:r w:rsidRPr="00B30D81">
        <w:rPr>
          <w:color w:val="000000"/>
        </w:rPr>
        <w:t>6  or</w:t>
      </w:r>
      <w:proofErr w:type="gramEnd"/>
      <w:r w:rsidRPr="00B30D81">
        <w:rPr>
          <w:color w:val="000000"/>
        </w:rPr>
        <w:t xml:space="preserve"> older  </w:t>
      </w:r>
    </w:p>
    <w:p w14:paraId="213D0042" w14:textId="77777777" w:rsidR="00B30D81" w:rsidRPr="00B30D81" w:rsidRDefault="00B30D81" w:rsidP="00FA3210">
      <w:pPr>
        <w:pStyle w:val="ListParagraph"/>
        <w:numPr>
          <w:ilvl w:val="0"/>
          <w:numId w:val="2"/>
        </w:numPr>
        <w:rPr>
          <w:color w:val="000000"/>
        </w:rPr>
      </w:pPr>
      <w:r w:rsidRPr="00B30D81">
        <w:rPr>
          <w:color w:val="000000"/>
        </w:rPr>
        <w:t>Must have a diagnosis of moderate-to-severe chronic plaque psoriasis  </w:t>
      </w:r>
    </w:p>
    <w:p w14:paraId="3C3F9B93" w14:textId="77777777" w:rsidR="00B30D81" w:rsidRPr="00B30D81" w:rsidRDefault="00B30D81" w:rsidP="00FA3210">
      <w:pPr>
        <w:pStyle w:val="ListParagraph"/>
        <w:numPr>
          <w:ilvl w:val="0"/>
          <w:numId w:val="2"/>
        </w:numPr>
        <w:rPr>
          <w:color w:val="000000"/>
        </w:rPr>
      </w:pPr>
      <w:r w:rsidRPr="00B30D81">
        <w:rPr>
          <w:color w:val="000000"/>
        </w:rPr>
        <w:t>Must have documentation of ONE of the following:  </w:t>
      </w:r>
    </w:p>
    <w:p w14:paraId="6F4027B2" w14:textId="77777777" w:rsidR="00B30D81" w:rsidRPr="00B30D81" w:rsidRDefault="00B30D81" w:rsidP="00FA3210">
      <w:pPr>
        <w:pStyle w:val="ListParagraph"/>
        <w:numPr>
          <w:ilvl w:val="1"/>
          <w:numId w:val="2"/>
        </w:numPr>
        <w:rPr>
          <w:color w:val="000000"/>
        </w:rPr>
      </w:pPr>
      <w:r w:rsidRPr="00B30D81">
        <w:rPr>
          <w:color w:val="000000"/>
        </w:rPr>
        <w:t xml:space="preserve">Affected </w:t>
      </w:r>
      <w:proofErr w:type="gramStart"/>
      <w:r w:rsidRPr="00B30D81">
        <w:rPr>
          <w:color w:val="000000"/>
        </w:rPr>
        <w:t>area</w:t>
      </w:r>
      <w:proofErr w:type="gramEnd"/>
      <w:r w:rsidRPr="00B30D81">
        <w:rPr>
          <w:color w:val="000000"/>
        </w:rPr>
        <w:t>(s) include hands, feet, face, neck, scalp, genitals/groin, intertriginous areas </w:t>
      </w:r>
    </w:p>
    <w:p w14:paraId="0B3FDAF1" w14:textId="77777777" w:rsidR="00B30D81" w:rsidRPr="00B30D81" w:rsidRDefault="00B30D81" w:rsidP="00FA3210">
      <w:pPr>
        <w:pStyle w:val="ListParagraph"/>
        <w:numPr>
          <w:ilvl w:val="1"/>
          <w:numId w:val="2"/>
        </w:numPr>
        <w:rPr>
          <w:color w:val="000000"/>
        </w:rPr>
      </w:pPr>
      <w:r w:rsidRPr="00B30D81">
        <w:rPr>
          <w:color w:val="000000"/>
        </w:rPr>
        <w:t>Minimum body surface area (BSA) involvement of &gt;10%  </w:t>
      </w:r>
    </w:p>
    <w:p w14:paraId="5B3CE5B2" w14:textId="0E93C073" w:rsidR="00B30D81" w:rsidRPr="003618DD" w:rsidRDefault="00B30D81" w:rsidP="00FA3210">
      <w:pPr>
        <w:pStyle w:val="ListParagraph"/>
        <w:numPr>
          <w:ilvl w:val="1"/>
          <w:numId w:val="2"/>
        </w:numPr>
        <w:rPr>
          <w:color w:val="000000"/>
        </w:rPr>
      </w:pPr>
      <w:r w:rsidRPr="00B30D81">
        <w:rPr>
          <w:color w:val="000000"/>
        </w:rPr>
        <w:t>At least 3% of BSA affected AND the member has had an inadequate response or intolerance to either phototherapy (e.g., UVB, PUVA) OR pharmacologic treatment with methotrexate, cyclosporine</w:t>
      </w:r>
      <w:r w:rsidRPr="00B30D81">
        <w:rPr>
          <w:color w:val="000000"/>
        </w:rPr>
        <w:t>,</w:t>
      </w:r>
      <w:r w:rsidRPr="00B30D81">
        <w:rPr>
          <w:color w:val="000000"/>
        </w:rPr>
        <w:t xml:space="preserve"> or acitretin (unless there is a clinical reason to not take pharmacologic treatment – see </w:t>
      </w:r>
      <w:hyperlink r:id="rId12" w:tgtFrame="_blank" w:history="1">
        <w:r w:rsidRPr="00B30D81">
          <w:rPr>
            <w:rStyle w:val="Hyperlink"/>
          </w:rPr>
          <w:t>Appendix 1</w:t>
        </w:r>
      </w:hyperlink>
      <w:r w:rsidRPr="00B30D81">
        <w:rPr>
          <w:color w:val="000000"/>
        </w:rPr>
        <w:t>) </w:t>
      </w:r>
    </w:p>
    <w:p w14:paraId="4A44BB40" w14:textId="108EE1FB" w:rsidR="00B30D81" w:rsidRPr="00CD1600" w:rsidRDefault="00B30D81" w:rsidP="00CD1600">
      <w:pPr>
        <w:pStyle w:val="Heading2"/>
      </w:pPr>
      <w:bookmarkStart w:id="15" w:name="_Toc225252207"/>
      <w:r w:rsidRPr="00CD1600">
        <w:t xml:space="preserve">Ankylosing </w:t>
      </w:r>
      <w:r w:rsidRPr="00CD1600">
        <w:t>S</w:t>
      </w:r>
      <w:r w:rsidRPr="00CD1600">
        <w:t>pondylitis (AS) and non-radiographic axial spondyloarthritis (nr-</w:t>
      </w:r>
      <w:proofErr w:type="spellStart"/>
      <w:r w:rsidRPr="00CD1600">
        <w:t>axSpA</w:t>
      </w:r>
      <w:proofErr w:type="spellEnd"/>
      <w:r w:rsidRPr="00CD1600">
        <w:t>)</w:t>
      </w:r>
      <w:bookmarkEnd w:id="15"/>
    </w:p>
    <w:p w14:paraId="49D05B12" w14:textId="515B91F8" w:rsidR="00B30D81" w:rsidRPr="00B30D81" w:rsidRDefault="00B30D81" w:rsidP="00FA3210">
      <w:pPr>
        <w:pStyle w:val="ListParagraph"/>
        <w:numPr>
          <w:ilvl w:val="0"/>
          <w:numId w:val="2"/>
        </w:numPr>
        <w:rPr>
          <w:color w:val="000000"/>
        </w:rPr>
      </w:pPr>
      <w:r w:rsidRPr="00B30D81">
        <w:rPr>
          <w:color w:val="000000"/>
        </w:rPr>
        <w:t>Must be prescribed by</w:t>
      </w:r>
      <w:r w:rsidRPr="00B30D81">
        <w:rPr>
          <w:color w:val="000000"/>
        </w:rPr>
        <w:t>,</w:t>
      </w:r>
      <w:r w:rsidRPr="00B30D81">
        <w:rPr>
          <w:color w:val="000000"/>
        </w:rPr>
        <w:t xml:space="preserve"> or in consultation with</w:t>
      </w:r>
      <w:r w:rsidRPr="00B30D81">
        <w:rPr>
          <w:color w:val="000000"/>
        </w:rPr>
        <w:t>,</w:t>
      </w:r>
      <w:r w:rsidRPr="00B30D81">
        <w:rPr>
          <w:color w:val="000000"/>
        </w:rPr>
        <w:t> a rheumatologist  </w:t>
      </w:r>
    </w:p>
    <w:p w14:paraId="59428CB1" w14:textId="0BCD4710" w:rsidR="00B30D81" w:rsidRPr="00B30D81" w:rsidRDefault="00B30D81" w:rsidP="00FA3210">
      <w:pPr>
        <w:pStyle w:val="ListParagraph"/>
        <w:numPr>
          <w:ilvl w:val="0"/>
          <w:numId w:val="2"/>
        </w:numPr>
        <w:rPr>
          <w:color w:val="000000"/>
        </w:rPr>
      </w:pPr>
      <w:r w:rsidRPr="00B30D81">
        <w:rPr>
          <w:color w:val="000000"/>
        </w:rPr>
        <w:t xml:space="preserve">Must be </w:t>
      </w:r>
      <w:proofErr w:type="gramStart"/>
      <w:r w:rsidRPr="00B30D81">
        <w:rPr>
          <w:color w:val="000000"/>
        </w:rPr>
        <w:t>age</w:t>
      </w:r>
      <w:proofErr w:type="gramEnd"/>
      <w:r w:rsidRPr="00B30D81">
        <w:rPr>
          <w:color w:val="000000"/>
        </w:rPr>
        <w:t xml:space="preserve"> 18 or older  </w:t>
      </w:r>
    </w:p>
    <w:p w14:paraId="691C4341" w14:textId="77777777" w:rsidR="00B30D81" w:rsidRPr="00B30D81" w:rsidRDefault="00B30D81" w:rsidP="00FA3210">
      <w:pPr>
        <w:pStyle w:val="ListParagraph"/>
        <w:numPr>
          <w:ilvl w:val="0"/>
          <w:numId w:val="2"/>
        </w:numPr>
        <w:rPr>
          <w:color w:val="000000"/>
        </w:rPr>
      </w:pPr>
      <w:r w:rsidRPr="00B30D81">
        <w:rPr>
          <w:color w:val="000000"/>
        </w:rPr>
        <w:t>Must have a diagnosis of active ankylosing spondylitis or active nr-</w:t>
      </w:r>
      <w:proofErr w:type="spellStart"/>
      <w:r w:rsidRPr="00B30D81">
        <w:rPr>
          <w:color w:val="000000"/>
        </w:rPr>
        <w:t>axSpA</w:t>
      </w:r>
      <w:proofErr w:type="spellEnd"/>
      <w:r w:rsidRPr="00B30D81">
        <w:rPr>
          <w:color w:val="000000"/>
        </w:rPr>
        <w:t>  </w:t>
      </w:r>
    </w:p>
    <w:p w14:paraId="3463A4C1" w14:textId="110DA144" w:rsidR="00B30D81" w:rsidRPr="003618DD" w:rsidRDefault="00B30D81" w:rsidP="00FA3210">
      <w:pPr>
        <w:pStyle w:val="ListParagraph"/>
        <w:numPr>
          <w:ilvl w:val="0"/>
          <w:numId w:val="2"/>
        </w:numPr>
        <w:rPr>
          <w:color w:val="000000"/>
        </w:rPr>
      </w:pPr>
      <w:r w:rsidRPr="00B30D81">
        <w:rPr>
          <w:color w:val="000000"/>
        </w:rPr>
        <w:t>Must have an adequate trial with at least </w:t>
      </w:r>
      <w:r w:rsidRPr="00B30D81">
        <w:rPr>
          <w:b/>
          <w:bCs/>
          <w:color w:val="000000"/>
        </w:rPr>
        <w:t>TWO</w:t>
      </w:r>
      <w:r w:rsidRPr="00B30D81">
        <w:rPr>
          <w:color w:val="000000"/>
        </w:rPr>
        <w:t> </w:t>
      </w:r>
      <w:r w:rsidR="00F0761D">
        <w:rPr>
          <w:color w:val="000000"/>
        </w:rPr>
        <w:t>non</w:t>
      </w:r>
      <w:r w:rsidR="003D369E">
        <w:rPr>
          <w:color w:val="000000"/>
        </w:rPr>
        <w:t>steroidal anti-inflammatory drugs (</w:t>
      </w:r>
      <w:r w:rsidRPr="00B30D81">
        <w:rPr>
          <w:color w:val="000000"/>
        </w:rPr>
        <w:t>NSAIDs</w:t>
      </w:r>
      <w:r w:rsidR="003D369E">
        <w:rPr>
          <w:color w:val="000000"/>
        </w:rPr>
        <w:t>)</w:t>
      </w:r>
      <w:r w:rsidRPr="00B30D81">
        <w:rPr>
          <w:color w:val="000000"/>
        </w:rPr>
        <w:t xml:space="preserve"> at anti-inflammatory dose with an inadequate response, significant side effects/toxicity</w:t>
      </w:r>
      <w:r w:rsidRPr="00B30D81">
        <w:rPr>
          <w:color w:val="000000"/>
        </w:rPr>
        <w:t>,</w:t>
      </w:r>
      <w:r w:rsidRPr="00B30D81">
        <w:rPr>
          <w:color w:val="000000"/>
        </w:rPr>
        <w:t xml:space="preserve"> or a contraindication to these therapies  </w:t>
      </w:r>
    </w:p>
    <w:p w14:paraId="6DB44B90" w14:textId="77777777" w:rsidR="00B30D81" w:rsidRPr="00CD1600" w:rsidRDefault="00B30D81" w:rsidP="00CD1600">
      <w:pPr>
        <w:pStyle w:val="Heading2"/>
      </w:pPr>
      <w:bookmarkStart w:id="16" w:name="_Toc225252208"/>
      <w:r w:rsidRPr="00CD1600">
        <w:t>Hidradenitis suppurativa</w:t>
      </w:r>
      <w:bookmarkEnd w:id="16"/>
      <w:r w:rsidRPr="00CD1600">
        <w:t>   </w:t>
      </w:r>
    </w:p>
    <w:p w14:paraId="38C3D025" w14:textId="17C79634" w:rsidR="00B30D81" w:rsidRPr="00B30D81" w:rsidRDefault="00B30D81" w:rsidP="00FA3210">
      <w:pPr>
        <w:pStyle w:val="ListParagraph"/>
        <w:numPr>
          <w:ilvl w:val="0"/>
          <w:numId w:val="2"/>
        </w:numPr>
        <w:rPr>
          <w:color w:val="000000"/>
        </w:rPr>
      </w:pPr>
      <w:r w:rsidRPr="00B30D81">
        <w:rPr>
          <w:color w:val="000000"/>
        </w:rPr>
        <w:t>Must be prescribed by</w:t>
      </w:r>
      <w:r w:rsidRPr="00B30D81">
        <w:rPr>
          <w:color w:val="000000"/>
        </w:rPr>
        <w:t>,</w:t>
      </w:r>
      <w:r w:rsidRPr="00B30D81">
        <w:rPr>
          <w:color w:val="000000"/>
        </w:rPr>
        <w:t xml:space="preserve"> or in consultation with</w:t>
      </w:r>
      <w:r w:rsidRPr="00B30D81">
        <w:rPr>
          <w:color w:val="000000"/>
        </w:rPr>
        <w:t xml:space="preserve">, </w:t>
      </w:r>
      <w:r w:rsidRPr="00B30D81">
        <w:rPr>
          <w:color w:val="000000"/>
        </w:rPr>
        <w:t>a rheumatologist or dermatologist </w:t>
      </w:r>
    </w:p>
    <w:p w14:paraId="4B14E698" w14:textId="46D24D63" w:rsidR="00B30D81" w:rsidRPr="00B30D81" w:rsidRDefault="00B30D81" w:rsidP="00FA3210">
      <w:pPr>
        <w:pStyle w:val="ListParagraph"/>
        <w:numPr>
          <w:ilvl w:val="0"/>
          <w:numId w:val="2"/>
        </w:numPr>
        <w:rPr>
          <w:color w:val="000000"/>
        </w:rPr>
      </w:pPr>
      <w:r w:rsidRPr="00B30D81">
        <w:rPr>
          <w:color w:val="000000"/>
        </w:rPr>
        <w:t xml:space="preserve">Must be </w:t>
      </w:r>
      <w:proofErr w:type="gramStart"/>
      <w:r w:rsidRPr="00B30D81">
        <w:rPr>
          <w:color w:val="000000"/>
        </w:rPr>
        <w:t>age</w:t>
      </w:r>
      <w:proofErr w:type="gramEnd"/>
      <w:r w:rsidRPr="00B30D81">
        <w:rPr>
          <w:color w:val="000000"/>
        </w:rPr>
        <w:t xml:space="preserve"> 18 or older </w:t>
      </w:r>
    </w:p>
    <w:p w14:paraId="7BDF362C" w14:textId="5B9FD5AF" w:rsidR="00B30D81" w:rsidRPr="00B30D81" w:rsidRDefault="00B30D81" w:rsidP="00FA3210">
      <w:pPr>
        <w:pStyle w:val="ListParagraph"/>
        <w:numPr>
          <w:ilvl w:val="0"/>
          <w:numId w:val="2"/>
        </w:numPr>
        <w:rPr>
          <w:color w:val="000000"/>
        </w:rPr>
      </w:pPr>
      <w:r w:rsidRPr="00B30D81">
        <w:rPr>
          <w:color w:val="000000"/>
        </w:rPr>
        <w:t>Must have a diagnosis of moderate-to-severe hidradenitis suppurativa with baseline symptoms documented (e.g., abscess/</w:t>
      </w:r>
      <w:proofErr w:type="gramStart"/>
      <w:r w:rsidRPr="00B30D81">
        <w:rPr>
          <w:color w:val="000000"/>
        </w:rPr>
        <w:t>inflammatory nodule</w:t>
      </w:r>
      <w:proofErr w:type="gramEnd"/>
      <w:r w:rsidRPr="00B30D81">
        <w:rPr>
          <w:color w:val="000000"/>
        </w:rPr>
        <w:t xml:space="preserve"> count, pain score) </w:t>
      </w:r>
    </w:p>
    <w:p w14:paraId="3120DE57" w14:textId="483B50B4" w:rsidR="00B30D81" w:rsidRPr="003618DD" w:rsidRDefault="00B30D81" w:rsidP="00FA3210">
      <w:pPr>
        <w:pStyle w:val="ListParagraph"/>
        <w:numPr>
          <w:ilvl w:val="0"/>
          <w:numId w:val="2"/>
        </w:numPr>
        <w:rPr>
          <w:color w:val="000000"/>
        </w:rPr>
      </w:pPr>
      <w:r w:rsidRPr="00B30D81">
        <w:rPr>
          <w:color w:val="000000"/>
        </w:rPr>
        <w:t>Must have had an inadequate response to an oral antibiotic used for the treatment of hidradenitis suppurativa (e.g., clindamycin, metronidazole, moxifloxacin, rifampin, tetracyclines) for at least </w:t>
      </w:r>
      <w:r w:rsidRPr="00B30D81">
        <w:rPr>
          <w:b/>
          <w:bCs/>
          <w:color w:val="000000"/>
        </w:rPr>
        <w:t>90 days</w:t>
      </w:r>
      <w:r w:rsidRPr="00B30D81">
        <w:rPr>
          <w:color w:val="000000"/>
        </w:rPr>
        <w:t xml:space="preserve"> OR </w:t>
      </w:r>
      <w:r w:rsidR="00630D87">
        <w:rPr>
          <w:color w:val="000000"/>
        </w:rPr>
        <w:t>have</w:t>
      </w:r>
      <w:r w:rsidR="00630D87" w:rsidRPr="00B30D81">
        <w:rPr>
          <w:color w:val="000000"/>
        </w:rPr>
        <w:t xml:space="preserve"> </w:t>
      </w:r>
      <w:r w:rsidRPr="00B30D81">
        <w:rPr>
          <w:color w:val="000000"/>
        </w:rPr>
        <w:t>an intolerance/contraindication to all therapies </w:t>
      </w:r>
    </w:p>
    <w:p w14:paraId="54FE8207" w14:textId="77777777" w:rsidR="00B30D81" w:rsidRPr="00CD1600" w:rsidRDefault="00B30D81" w:rsidP="00CD1600">
      <w:pPr>
        <w:pStyle w:val="Heading2"/>
      </w:pPr>
      <w:bookmarkStart w:id="17" w:name="_Toc225252209"/>
      <w:r w:rsidRPr="00CD1600">
        <w:lastRenderedPageBreak/>
        <w:t>Enthesitis-related arthritis (ERA)</w:t>
      </w:r>
      <w:bookmarkEnd w:id="17"/>
      <w:r w:rsidRPr="00CD1600">
        <w:t> </w:t>
      </w:r>
    </w:p>
    <w:p w14:paraId="42CF18E4" w14:textId="11B03C08" w:rsidR="00B30D81" w:rsidRPr="00B30D81" w:rsidRDefault="00B30D81" w:rsidP="00FA3210">
      <w:pPr>
        <w:pStyle w:val="ListParagraph"/>
        <w:numPr>
          <w:ilvl w:val="0"/>
          <w:numId w:val="2"/>
        </w:numPr>
        <w:rPr>
          <w:color w:val="000000"/>
        </w:rPr>
      </w:pPr>
      <w:r w:rsidRPr="00B30D81">
        <w:rPr>
          <w:color w:val="000000"/>
        </w:rPr>
        <w:t>Must be prescribed by</w:t>
      </w:r>
      <w:r w:rsidRPr="00B30D81">
        <w:rPr>
          <w:color w:val="000000"/>
        </w:rPr>
        <w:t>,</w:t>
      </w:r>
      <w:r w:rsidRPr="00B30D81">
        <w:rPr>
          <w:color w:val="000000"/>
        </w:rPr>
        <w:t xml:space="preserve"> or in consultation with</w:t>
      </w:r>
      <w:r w:rsidRPr="00B30D81">
        <w:rPr>
          <w:color w:val="000000"/>
        </w:rPr>
        <w:t>,</w:t>
      </w:r>
      <w:r w:rsidRPr="00B30D81">
        <w:rPr>
          <w:color w:val="000000"/>
        </w:rPr>
        <w:t xml:space="preserve"> a rheumatologist  </w:t>
      </w:r>
    </w:p>
    <w:p w14:paraId="1DFAAE35" w14:textId="5660C4C2" w:rsidR="00B30D81" w:rsidRPr="00B30D81" w:rsidRDefault="00B30D81" w:rsidP="00FA3210">
      <w:pPr>
        <w:pStyle w:val="ListParagraph"/>
        <w:numPr>
          <w:ilvl w:val="0"/>
          <w:numId w:val="2"/>
        </w:numPr>
        <w:rPr>
          <w:color w:val="000000"/>
        </w:rPr>
      </w:pPr>
      <w:r w:rsidRPr="00B30D81">
        <w:rPr>
          <w:color w:val="000000"/>
        </w:rPr>
        <w:t>Must be age 4 or older </w:t>
      </w:r>
    </w:p>
    <w:p w14:paraId="34F9F6C1" w14:textId="3F60357A" w:rsidR="00B30D81" w:rsidRPr="00B30D81" w:rsidRDefault="00B30D81" w:rsidP="00FA3210">
      <w:pPr>
        <w:pStyle w:val="ListParagraph"/>
        <w:numPr>
          <w:ilvl w:val="0"/>
          <w:numId w:val="2"/>
        </w:numPr>
        <w:rPr>
          <w:color w:val="000000"/>
        </w:rPr>
      </w:pPr>
      <w:r w:rsidRPr="00B30D81">
        <w:rPr>
          <w:color w:val="000000"/>
        </w:rPr>
        <w:t xml:space="preserve">Must have documentation of at least THREE active joints involved and at least </w:t>
      </w:r>
      <w:proofErr w:type="gramStart"/>
      <w:r w:rsidRPr="00B30D81">
        <w:rPr>
          <w:color w:val="000000"/>
        </w:rPr>
        <w:t>ONE  site</w:t>
      </w:r>
      <w:proofErr w:type="gramEnd"/>
      <w:r w:rsidRPr="00B30D81">
        <w:rPr>
          <w:color w:val="000000"/>
        </w:rPr>
        <w:t xml:space="preserve"> of active enthesitis  </w:t>
      </w:r>
    </w:p>
    <w:p w14:paraId="3B39E866" w14:textId="77777777" w:rsidR="00BC3C3D" w:rsidRDefault="00B30D81" w:rsidP="00FA3210">
      <w:pPr>
        <w:pStyle w:val="ListParagraph"/>
        <w:numPr>
          <w:ilvl w:val="0"/>
          <w:numId w:val="2"/>
        </w:numPr>
        <w:rPr>
          <w:color w:val="000000"/>
        </w:rPr>
      </w:pPr>
      <w:r w:rsidRPr="00B30D81">
        <w:rPr>
          <w:color w:val="000000"/>
        </w:rPr>
        <w:t>Must meet one of the following:  </w:t>
      </w:r>
    </w:p>
    <w:p w14:paraId="47BE016B" w14:textId="77777777" w:rsidR="00BC3C3D" w:rsidRDefault="00B30D81" w:rsidP="00FA3210">
      <w:pPr>
        <w:pStyle w:val="ListParagraph"/>
        <w:numPr>
          <w:ilvl w:val="1"/>
          <w:numId w:val="2"/>
        </w:numPr>
        <w:rPr>
          <w:color w:val="000000"/>
        </w:rPr>
      </w:pPr>
      <w:r w:rsidRPr="006629B9">
        <w:rPr>
          <w:color w:val="000000"/>
        </w:rPr>
        <w:t>Had an inadequate response to NSAIDs, sulfasalazine</w:t>
      </w:r>
      <w:r w:rsidRPr="006629B9">
        <w:rPr>
          <w:color w:val="000000"/>
        </w:rPr>
        <w:t>,</w:t>
      </w:r>
      <w:r w:rsidRPr="006629B9">
        <w:rPr>
          <w:color w:val="000000"/>
        </w:rPr>
        <w:t xml:space="preserve"> or methotrexate  </w:t>
      </w:r>
    </w:p>
    <w:p w14:paraId="6F8EC529" w14:textId="4E37A4E7" w:rsidR="00B30D81" w:rsidRPr="006629B9" w:rsidRDefault="00B30D81" w:rsidP="00FA3210">
      <w:pPr>
        <w:pStyle w:val="ListParagraph"/>
        <w:numPr>
          <w:ilvl w:val="1"/>
          <w:numId w:val="2"/>
        </w:numPr>
        <w:rPr>
          <w:color w:val="000000"/>
        </w:rPr>
      </w:pPr>
      <w:r w:rsidRPr="006629B9">
        <w:rPr>
          <w:color w:val="000000"/>
        </w:rPr>
        <w:t>Has an intolerance or contraindication to NSAIDs, sulfasalazine (e.g., porphyria, intestinal or urinary obstruction)</w:t>
      </w:r>
      <w:r w:rsidRPr="006629B9">
        <w:rPr>
          <w:color w:val="000000"/>
        </w:rPr>
        <w:t>,</w:t>
      </w:r>
      <w:r w:rsidRPr="006629B9">
        <w:rPr>
          <w:color w:val="000000"/>
        </w:rPr>
        <w:t xml:space="preserve"> and methotrexate (see </w:t>
      </w:r>
      <w:hyperlink r:id="rId13" w:tgtFrame="_blank" w:history="1">
        <w:r w:rsidRPr="00B30D81">
          <w:rPr>
            <w:rStyle w:val="Hyperlink"/>
          </w:rPr>
          <w:t>Appendix 1</w:t>
        </w:r>
      </w:hyperlink>
      <w:r w:rsidRPr="006629B9">
        <w:rPr>
          <w:color w:val="000000"/>
        </w:rPr>
        <w:t>) </w:t>
      </w:r>
    </w:p>
    <w:p w14:paraId="50F6E848" w14:textId="47AA7767" w:rsidR="00E768E6" w:rsidRPr="00121D1A" w:rsidRDefault="002B581F" w:rsidP="00A03DEC">
      <w:pPr>
        <w:pStyle w:val="Heading1"/>
      </w:pPr>
      <w:bookmarkStart w:id="18" w:name="_Toc225252210"/>
      <w:bookmarkEnd w:id="12"/>
      <w:r>
        <w:t>R</w:t>
      </w:r>
      <w:r w:rsidR="00903D20">
        <w:t>e</w:t>
      </w:r>
      <w:r>
        <w:t>authorization Criteria</w:t>
      </w:r>
      <w:bookmarkEnd w:id="18"/>
    </w:p>
    <w:p w14:paraId="1688AE3D" w14:textId="4A44A763" w:rsidR="0088160A" w:rsidRDefault="0088160A" w:rsidP="0088160A">
      <w:pPr>
        <w:rPr>
          <w:color w:val="FF0000"/>
        </w:rPr>
      </w:pPr>
      <w:bookmarkStart w:id="19" w:name="bf411eb6-39fd-4766-b04d-3f0de901e5e4"/>
      <w:r w:rsidRPr="009C317B">
        <w:rPr>
          <w:color w:val="000000"/>
        </w:rPr>
        <w:t>All prior authorization renewals are reviewed on an annual basis to determine the Medical Necessity for continuation of therapy</w:t>
      </w:r>
      <w:r>
        <w:rPr>
          <w:color w:val="000000"/>
        </w:rPr>
        <w:t xml:space="preserve">. The request must meet </w:t>
      </w:r>
      <w:proofErr w:type="gramStart"/>
      <w:r>
        <w:rPr>
          <w:color w:val="000000"/>
        </w:rPr>
        <w:t>all of</w:t>
      </w:r>
      <w:proofErr w:type="gramEnd"/>
      <w:r>
        <w:rPr>
          <w:color w:val="000000"/>
        </w:rPr>
        <w:t xml:space="preserve"> the criteria listed under the General Criteria </w:t>
      </w:r>
      <w:r>
        <w:rPr>
          <w:b/>
          <w:bCs/>
          <w:i/>
          <w:iCs/>
          <w:color w:val="000000"/>
        </w:rPr>
        <w:t xml:space="preserve">and </w:t>
      </w:r>
      <w:r>
        <w:rPr>
          <w:color w:val="000000"/>
        </w:rPr>
        <w:t xml:space="preserve">diagnosis-specific sections below. </w:t>
      </w:r>
    </w:p>
    <w:p w14:paraId="67409E1A" w14:textId="46D65D34" w:rsidR="0088160A" w:rsidRPr="00CD1600" w:rsidRDefault="0088160A" w:rsidP="00CD1600">
      <w:pPr>
        <w:pStyle w:val="Heading2"/>
      </w:pPr>
      <w:bookmarkStart w:id="20" w:name="_Toc225252211"/>
      <w:r>
        <w:t>General Criteria</w:t>
      </w:r>
      <w:bookmarkEnd w:id="20"/>
      <w:r>
        <w:t xml:space="preserve"> </w:t>
      </w:r>
    </w:p>
    <w:p w14:paraId="1A9E1F7D" w14:textId="7611DD21" w:rsidR="00BC3C3D" w:rsidRPr="00BC3C3D" w:rsidRDefault="003618DD" w:rsidP="00FA3210">
      <w:pPr>
        <w:pStyle w:val="ListParagraph"/>
        <w:numPr>
          <w:ilvl w:val="0"/>
          <w:numId w:val="2"/>
        </w:numPr>
        <w:rPr>
          <w:color w:val="000000"/>
        </w:rPr>
      </w:pPr>
      <w:r>
        <w:rPr>
          <w:color w:val="000000"/>
        </w:rPr>
        <w:t>Must</w:t>
      </w:r>
      <w:r w:rsidR="00BC3C3D" w:rsidRPr="00BC3C3D">
        <w:rPr>
          <w:color w:val="000000"/>
        </w:rPr>
        <w:t xml:space="preserve"> be prescribed a dose within the manufacturer's dosing guidelines (based on diagnosis, weight, etc.) listed in the FDA</w:t>
      </w:r>
      <w:r w:rsidR="0087010D">
        <w:rPr>
          <w:color w:val="000000"/>
        </w:rPr>
        <w:t>-</w:t>
      </w:r>
      <w:r w:rsidR="00BC3C3D" w:rsidRPr="00BC3C3D">
        <w:rPr>
          <w:color w:val="000000"/>
        </w:rPr>
        <w:t xml:space="preserve">approved labeling </w:t>
      </w:r>
    </w:p>
    <w:p w14:paraId="3F2ABBA0" w14:textId="5342684F" w:rsidR="00BC3C3D" w:rsidRPr="00BC3C3D" w:rsidRDefault="00BC3C3D" w:rsidP="00FA3210">
      <w:pPr>
        <w:pStyle w:val="ListParagraph"/>
        <w:numPr>
          <w:ilvl w:val="0"/>
          <w:numId w:val="2"/>
        </w:numPr>
        <w:rPr>
          <w:color w:val="000000"/>
        </w:rPr>
      </w:pPr>
      <w:r w:rsidRPr="00BC3C3D">
        <w:rPr>
          <w:color w:val="000000"/>
        </w:rPr>
        <w:t>Must not be used in combination with a biologic DMARD or a targeted synthetic DMARD [such as Xeljanz (tofacitinib), Olumiant (</w:t>
      </w:r>
      <w:r w:rsidR="0087010D">
        <w:rPr>
          <w:color w:val="000000"/>
        </w:rPr>
        <w:t>baricitinib</w:t>
      </w:r>
      <w:r w:rsidRPr="00BC3C3D">
        <w:rPr>
          <w:color w:val="000000"/>
        </w:rPr>
        <w:t xml:space="preserve">), or Otezla (apremilast)] </w:t>
      </w:r>
    </w:p>
    <w:p w14:paraId="29F8F012" w14:textId="51433565" w:rsidR="00BC3C3D" w:rsidRPr="00CD1600" w:rsidRDefault="00BC3C3D" w:rsidP="00CD1600">
      <w:pPr>
        <w:pStyle w:val="Heading2"/>
      </w:pPr>
      <w:bookmarkStart w:id="21" w:name="_Toc225252212"/>
      <w:r w:rsidRPr="00CD1600">
        <w:t xml:space="preserve">Psoriatic </w:t>
      </w:r>
      <w:r w:rsidRPr="00CD1600">
        <w:t>A</w:t>
      </w:r>
      <w:r w:rsidRPr="00CD1600">
        <w:t>rthritis</w:t>
      </w:r>
      <w:bookmarkEnd w:id="21"/>
    </w:p>
    <w:p w14:paraId="7BF16F0E" w14:textId="77777777" w:rsidR="00BC3C3D" w:rsidRPr="00BC3C3D" w:rsidRDefault="00BC3C3D" w:rsidP="00FA3210">
      <w:pPr>
        <w:pStyle w:val="ListParagraph"/>
        <w:numPr>
          <w:ilvl w:val="0"/>
          <w:numId w:val="2"/>
        </w:numPr>
        <w:rPr>
          <w:color w:val="000000"/>
        </w:rPr>
      </w:pPr>
      <w:r w:rsidRPr="00BC3C3D">
        <w:rPr>
          <w:color w:val="000000"/>
        </w:rPr>
        <w:t xml:space="preserve">Must have recent chart note documentation showing achievement or maintenance of a positive clinical response as evidenced by low disease activity OR improvement in at least ONE of the following from baseline:  </w:t>
      </w:r>
    </w:p>
    <w:p w14:paraId="196987C9" w14:textId="2F3A6CD9" w:rsidR="00BC3C3D" w:rsidRPr="00BC3C3D" w:rsidRDefault="00BC3C3D" w:rsidP="00FA3210">
      <w:pPr>
        <w:pStyle w:val="ListParagraph"/>
        <w:numPr>
          <w:ilvl w:val="1"/>
          <w:numId w:val="2"/>
        </w:numPr>
        <w:rPr>
          <w:color w:val="000000"/>
        </w:rPr>
      </w:pPr>
      <w:r w:rsidRPr="00BC3C3D">
        <w:rPr>
          <w:color w:val="000000"/>
        </w:rPr>
        <w:t xml:space="preserve">Number of swollen joints  </w:t>
      </w:r>
    </w:p>
    <w:p w14:paraId="008AF7CD" w14:textId="77777777" w:rsidR="00BC3C3D" w:rsidRPr="00BC3C3D" w:rsidRDefault="00BC3C3D" w:rsidP="00FA3210">
      <w:pPr>
        <w:pStyle w:val="ListParagraph"/>
        <w:numPr>
          <w:ilvl w:val="1"/>
          <w:numId w:val="2"/>
        </w:numPr>
        <w:rPr>
          <w:color w:val="000000"/>
        </w:rPr>
      </w:pPr>
      <w:r w:rsidRPr="00BC3C3D">
        <w:rPr>
          <w:color w:val="000000"/>
        </w:rPr>
        <w:t xml:space="preserve">Number of tender joints  </w:t>
      </w:r>
    </w:p>
    <w:p w14:paraId="6E51156A" w14:textId="77777777" w:rsidR="00BC3C3D" w:rsidRPr="00BC3C3D" w:rsidRDefault="00BC3C3D" w:rsidP="00FA3210">
      <w:pPr>
        <w:pStyle w:val="ListParagraph"/>
        <w:numPr>
          <w:ilvl w:val="1"/>
          <w:numId w:val="2"/>
        </w:numPr>
        <w:rPr>
          <w:color w:val="000000"/>
        </w:rPr>
      </w:pPr>
      <w:r w:rsidRPr="00BC3C3D">
        <w:rPr>
          <w:color w:val="000000"/>
        </w:rPr>
        <w:t xml:space="preserve">Dactylitis  </w:t>
      </w:r>
    </w:p>
    <w:p w14:paraId="37AF6837" w14:textId="77777777" w:rsidR="00BC3C3D" w:rsidRPr="00BC3C3D" w:rsidRDefault="00BC3C3D" w:rsidP="00FA3210">
      <w:pPr>
        <w:pStyle w:val="ListParagraph"/>
        <w:numPr>
          <w:ilvl w:val="1"/>
          <w:numId w:val="2"/>
        </w:numPr>
        <w:rPr>
          <w:color w:val="000000"/>
        </w:rPr>
      </w:pPr>
      <w:r w:rsidRPr="00BC3C3D">
        <w:rPr>
          <w:color w:val="000000"/>
        </w:rPr>
        <w:t xml:space="preserve">Enthesitis  </w:t>
      </w:r>
    </w:p>
    <w:p w14:paraId="5F3DC9CA" w14:textId="77777777" w:rsidR="00BC3C3D" w:rsidRPr="00BC3C3D" w:rsidRDefault="00BC3C3D" w:rsidP="00FA3210">
      <w:pPr>
        <w:pStyle w:val="ListParagraph"/>
        <w:numPr>
          <w:ilvl w:val="1"/>
          <w:numId w:val="2"/>
        </w:numPr>
        <w:rPr>
          <w:color w:val="000000"/>
        </w:rPr>
      </w:pPr>
      <w:r w:rsidRPr="00BC3C3D">
        <w:rPr>
          <w:color w:val="000000"/>
        </w:rPr>
        <w:t xml:space="preserve">Skin and/or nail involvement  </w:t>
      </w:r>
    </w:p>
    <w:p w14:paraId="607332FB" w14:textId="77777777" w:rsidR="00BC3C3D" w:rsidRPr="00BC3C3D" w:rsidRDefault="00BC3C3D" w:rsidP="00FA3210">
      <w:pPr>
        <w:pStyle w:val="ListParagraph"/>
        <w:numPr>
          <w:ilvl w:val="1"/>
          <w:numId w:val="2"/>
        </w:numPr>
        <w:rPr>
          <w:color w:val="000000"/>
        </w:rPr>
      </w:pPr>
      <w:r w:rsidRPr="00BC3C3D">
        <w:rPr>
          <w:color w:val="000000"/>
        </w:rPr>
        <w:t xml:space="preserve">Functional status  </w:t>
      </w:r>
    </w:p>
    <w:p w14:paraId="11B08F17" w14:textId="0BC82273" w:rsidR="00BC3C3D" w:rsidRPr="003618DD" w:rsidRDefault="00BC3C3D" w:rsidP="00FA3210">
      <w:pPr>
        <w:pStyle w:val="ListParagraph"/>
        <w:numPr>
          <w:ilvl w:val="1"/>
          <w:numId w:val="2"/>
        </w:numPr>
        <w:rPr>
          <w:color w:val="000000"/>
        </w:rPr>
      </w:pPr>
      <w:r w:rsidRPr="00BC3C3D">
        <w:rPr>
          <w:color w:val="000000"/>
        </w:rPr>
        <w:t xml:space="preserve">C-reactive protein (CRP)  </w:t>
      </w:r>
    </w:p>
    <w:p w14:paraId="2A91CB96" w14:textId="6EF8A97E" w:rsidR="00BC3C3D" w:rsidRPr="00CD1600" w:rsidRDefault="00BC3C3D" w:rsidP="00CD1600">
      <w:pPr>
        <w:pStyle w:val="Heading2"/>
      </w:pPr>
      <w:bookmarkStart w:id="22" w:name="_Toc225252213"/>
      <w:r w:rsidRPr="00CD1600">
        <w:t xml:space="preserve">Plaque </w:t>
      </w:r>
      <w:proofErr w:type="spellStart"/>
      <w:r w:rsidRPr="00CD1600">
        <w:t>soriasis</w:t>
      </w:r>
      <w:bookmarkEnd w:id="22"/>
      <w:proofErr w:type="spellEnd"/>
    </w:p>
    <w:p w14:paraId="3210AC49" w14:textId="753CD499" w:rsidR="00BC3C3D" w:rsidRPr="00BC3C3D" w:rsidRDefault="00BC3C3D" w:rsidP="00FA3210">
      <w:pPr>
        <w:pStyle w:val="ListParagraph"/>
        <w:numPr>
          <w:ilvl w:val="0"/>
          <w:numId w:val="2"/>
        </w:numPr>
        <w:rPr>
          <w:color w:val="000000"/>
        </w:rPr>
      </w:pPr>
      <w:r w:rsidRPr="00BC3C3D">
        <w:rPr>
          <w:color w:val="000000"/>
        </w:rPr>
        <w:t xml:space="preserve">Must have recent chart note documentation showing achievement or maintenance of a positive clinical response as evidenced by low disease activity OR improvement in at </w:t>
      </w:r>
      <w:r w:rsidRPr="00BC3C3D">
        <w:rPr>
          <w:color w:val="000000"/>
        </w:rPr>
        <w:lastRenderedPageBreak/>
        <w:t xml:space="preserve">least ONE of the following from baseline:  </w:t>
      </w:r>
    </w:p>
    <w:p w14:paraId="474D8BED" w14:textId="0F5C13E8" w:rsidR="00BC3C3D" w:rsidRPr="00BC3C3D" w:rsidRDefault="00BC3C3D" w:rsidP="00FA3210">
      <w:pPr>
        <w:pStyle w:val="ListParagraph"/>
        <w:numPr>
          <w:ilvl w:val="1"/>
          <w:numId w:val="2"/>
        </w:numPr>
        <w:rPr>
          <w:color w:val="000000"/>
        </w:rPr>
      </w:pPr>
      <w:r w:rsidRPr="00BC3C3D">
        <w:rPr>
          <w:color w:val="000000"/>
        </w:rPr>
        <w:t xml:space="preserve">Body surface area (BSA) </w:t>
      </w:r>
    </w:p>
    <w:p w14:paraId="25956394" w14:textId="763D4CBB" w:rsidR="00BC3C3D" w:rsidRPr="003618DD" w:rsidRDefault="00BC3C3D" w:rsidP="00FA3210">
      <w:pPr>
        <w:pStyle w:val="ListParagraph"/>
        <w:numPr>
          <w:ilvl w:val="1"/>
          <w:numId w:val="2"/>
        </w:numPr>
        <w:rPr>
          <w:color w:val="000000"/>
        </w:rPr>
      </w:pPr>
      <w:r w:rsidRPr="00BC3C3D">
        <w:rPr>
          <w:color w:val="000000"/>
        </w:rPr>
        <w:t xml:space="preserve">Signs and Symptoms (e.g., itching, redness, flaking, scaling, burning, cracking, pain) </w:t>
      </w:r>
    </w:p>
    <w:p w14:paraId="3E038B35" w14:textId="48EE75FB" w:rsidR="00BC3C3D" w:rsidRPr="00CD1600" w:rsidRDefault="00BC3C3D" w:rsidP="00CD1600">
      <w:pPr>
        <w:pStyle w:val="Heading2"/>
      </w:pPr>
      <w:bookmarkStart w:id="23" w:name="_Toc225252214"/>
      <w:r w:rsidRPr="00CD1600">
        <w:t xml:space="preserve">Ankylosing </w:t>
      </w:r>
      <w:r w:rsidRPr="00CD1600">
        <w:t>S</w:t>
      </w:r>
      <w:r w:rsidRPr="00CD1600">
        <w:t>pondylitis (AS) and non-radiographic axial spondyloarthritis (nr-</w:t>
      </w:r>
      <w:proofErr w:type="spellStart"/>
      <w:r w:rsidRPr="00CD1600">
        <w:t>axSpA</w:t>
      </w:r>
      <w:proofErr w:type="spellEnd"/>
      <w:r w:rsidRPr="00CD1600">
        <w:t>)</w:t>
      </w:r>
      <w:bookmarkEnd w:id="23"/>
    </w:p>
    <w:p w14:paraId="0968AEA6" w14:textId="77777777" w:rsidR="00BC3C3D" w:rsidRPr="00BC3C3D" w:rsidRDefault="00BC3C3D" w:rsidP="00FA3210">
      <w:pPr>
        <w:pStyle w:val="ListParagraph"/>
        <w:numPr>
          <w:ilvl w:val="0"/>
          <w:numId w:val="2"/>
        </w:numPr>
        <w:rPr>
          <w:color w:val="000000"/>
        </w:rPr>
      </w:pPr>
      <w:r w:rsidRPr="00BC3C3D">
        <w:rPr>
          <w:color w:val="000000"/>
        </w:rPr>
        <w:t xml:space="preserve">Must have recent chart note documentation showing achievement or maintenance of a positive clinical response as evidenced by low disease activity OR improvement in at least ONE of the following from baseline:  </w:t>
      </w:r>
    </w:p>
    <w:p w14:paraId="4C1FCEEF" w14:textId="77777777" w:rsidR="00BC3C3D" w:rsidRPr="00BC3C3D" w:rsidRDefault="00BC3C3D" w:rsidP="00FA3210">
      <w:pPr>
        <w:pStyle w:val="ListParagraph"/>
        <w:numPr>
          <w:ilvl w:val="1"/>
          <w:numId w:val="2"/>
        </w:numPr>
        <w:rPr>
          <w:color w:val="000000"/>
        </w:rPr>
      </w:pPr>
      <w:r w:rsidRPr="00BC3C3D">
        <w:rPr>
          <w:color w:val="000000"/>
        </w:rPr>
        <w:t xml:space="preserve">Functional status </w:t>
      </w:r>
    </w:p>
    <w:p w14:paraId="7B527A71" w14:textId="77777777" w:rsidR="00BC3C3D" w:rsidRPr="00BC3C3D" w:rsidRDefault="00BC3C3D" w:rsidP="00FA3210">
      <w:pPr>
        <w:pStyle w:val="ListParagraph"/>
        <w:numPr>
          <w:ilvl w:val="1"/>
          <w:numId w:val="2"/>
        </w:numPr>
        <w:rPr>
          <w:color w:val="000000"/>
        </w:rPr>
      </w:pPr>
      <w:r w:rsidRPr="00BC3C3D">
        <w:rPr>
          <w:color w:val="000000"/>
        </w:rPr>
        <w:t xml:space="preserve">Total spinal pain </w:t>
      </w:r>
    </w:p>
    <w:p w14:paraId="2630362A" w14:textId="77777777" w:rsidR="00BC3C3D" w:rsidRPr="00BC3C3D" w:rsidRDefault="00BC3C3D" w:rsidP="00FA3210">
      <w:pPr>
        <w:pStyle w:val="ListParagraph"/>
        <w:numPr>
          <w:ilvl w:val="1"/>
          <w:numId w:val="2"/>
        </w:numPr>
        <w:rPr>
          <w:color w:val="000000"/>
        </w:rPr>
      </w:pPr>
      <w:r w:rsidRPr="00BC3C3D">
        <w:rPr>
          <w:color w:val="000000"/>
        </w:rPr>
        <w:t xml:space="preserve">Inflammation (e.g., morning stiffness) </w:t>
      </w:r>
    </w:p>
    <w:p w14:paraId="229ABF81" w14:textId="77777777" w:rsidR="00BC3C3D" w:rsidRPr="00BC3C3D" w:rsidRDefault="00BC3C3D" w:rsidP="00FA3210">
      <w:pPr>
        <w:pStyle w:val="ListParagraph"/>
        <w:numPr>
          <w:ilvl w:val="1"/>
          <w:numId w:val="2"/>
        </w:numPr>
        <w:rPr>
          <w:color w:val="000000"/>
        </w:rPr>
      </w:pPr>
      <w:r w:rsidRPr="00BC3C3D">
        <w:rPr>
          <w:color w:val="000000"/>
        </w:rPr>
        <w:t xml:space="preserve">Swollen joints </w:t>
      </w:r>
    </w:p>
    <w:p w14:paraId="25B16DF7" w14:textId="77777777" w:rsidR="00BC3C3D" w:rsidRPr="00BC3C3D" w:rsidRDefault="00BC3C3D" w:rsidP="00FA3210">
      <w:pPr>
        <w:pStyle w:val="ListParagraph"/>
        <w:numPr>
          <w:ilvl w:val="1"/>
          <w:numId w:val="2"/>
        </w:numPr>
        <w:rPr>
          <w:color w:val="000000"/>
        </w:rPr>
      </w:pPr>
      <w:r w:rsidRPr="00BC3C3D">
        <w:rPr>
          <w:color w:val="000000"/>
        </w:rPr>
        <w:t xml:space="preserve">Tender joints </w:t>
      </w:r>
    </w:p>
    <w:p w14:paraId="46EA895B" w14:textId="183568A4" w:rsidR="00BC3C3D" w:rsidRPr="003618DD" w:rsidRDefault="00BC3C3D" w:rsidP="00FA3210">
      <w:pPr>
        <w:pStyle w:val="ListParagraph"/>
        <w:numPr>
          <w:ilvl w:val="1"/>
          <w:numId w:val="2"/>
        </w:numPr>
        <w:rPr>
          <w:color w:val="000000"/>
        </w:rPr>
      </w:pPr>
      <w:r w:rsidRPr="00BC3C3D">
        <w:rPr>
          <w:color w:val="000000"/>
        </w:rPr>
        <w:t xml:space="preserve">C-reactive protein (CRP) </w:t>
      </w:r>
    </w:p>
    <w:p w14:paraId="385E61CD" w14:textId="305F6B85" w:rsidR="00BC3C3D" w:rsidRPr="00CD1600" w:rsidRDefault="00BC3C3D" w:rsidP="00CD1600">
      <w:pPr>
        <w:pStyle w:val="Heading2"/>
      </w:pPr>
      <w:bookmarkStart w:id="24" w:name="_Toc225252215"/>
      <w:r w:rsidRPr="00CD1600">
        <w:t>Hidradenitis suppurativa</w:t>
      </w:r>
      <w:bookmarkEnd w:id="24"/>
    </w:p>
    <w:p w14:paraId="2EA44366" w14:textId="3DA32F67" w:rsidR="00BC3C3D" w:rsidRPr="00BC3C3D" w:rsidRDefault="00BC3C3D" w:rsidP="00FA3210">
      <w:pPr>
        <w:pStyle w:val="ListParagraph"/>
        <w:numPr>
          <w:ilvl w:val="0"/>
          <w:numId w:val="2"/>
        </w:numPr>
        <w:rPr>
          <w:color w:val="000000"/>
        </w:rPr>
      </w:pPr>
      <w:r w:rsidRPr="00BC3C3D">
        <w:rPr>
          <w:color w:val="000000"/>
        </w:rPr>
        <w:t xml:space="preserve">Must have recent chart note documentation showing achievement or maintenance of a positive clinical response as evidenced by low disease activity OR improvement in at least ONE of the following from baseline: </w:t>
      </w:r>
    </w:p>
    <w:p w14:paraId="6EBA63A3" w14:textId="77777777" w:rsidR="00BC3C3D" w:rsidRPr="00BC3C3D" w:rsidRDefault="00BC3C3D" w:rsidP="00FA3210">
      <w:pPr>
        <w:pStyle w:val="ListParagraph"/>
        <w:numPr>
          <w:ilvl w:val="1"/>
          <w:numId w:val="2"/>
        </w:numPr>
        <w:rPr>
          <w:color w:val="000000"/>
        </w:rPr>
      </w:pPr>
      <w:r w:rsidRPr="00BC3C3D">
        <w:rPr>
          <w:color w:val="000000"/>
        </w:rPr>
        <w:t xml:space="preserve">Reduction in abscess and inflammatory nodule count  </w:t>
      </w:r>
    </w:p>
    <w:p w14:paraId="7F8D5E45" w14:textId="77777777" w:rsidR="00BC3C3D" w:rsidRPr="00BC3C3D" w:rsidRDefault="00BC3C3D" w:rsidP="00FA3210">
      <w:pPr>
        <w:pStyle w:val="ListParagraph"/>
        <w:numPr>
          <w:ilvl w:val="1"/>
          <w:numId w:val="2"/>
        </w:numPr>
        <w:rPr>
          <w:color w:val="000000"/>
        </w:rPr>
      </w:pPr>
      <w:r w:rsidRPr="00BC3C3D">
        <w:rPr>
          <w:color w:val="000000"/>
        </w:rPr>
        <w:t xml:space="preserve">Reduced formation of new sinus tracts and scarring </w:t>
      </w:r>
    </w:p>
    <w:p w14:paraId="6D667938" w14:textId="77777777" w:rsidR="00BC3C3D" w:rsidRPr="00BC3C3D" w:rsidRDefault="00BC3C3D" w:rsidP="00FA3210">
      <w:pPr>
        <w:pStyle w:val="ListParagraph"/>
        <w:numPr>
          <w:ilvl w:val="1"/>
          <w:numId w:val="2"/>
        </w:numPr>
        <w:rPr>
          <w:color w:val="000000"/>
        </w:rPr>
      </w:pPr>
      <w:r w:rsidRPr="00BC3C3D">
        <w:rPr>
          <w:color w:val="000000"/>
        </w:rPr>
        <w:t xml:space="preserve">Decrease in frequency of inflammatory lesions  </w:t>
      </w:r>
    </w:p>
    <w:p w14:paraId="0F4558CD" w14:textId="77777777" w:rsidR="00BC3C3D" w:rsidRPr="00BC3C3D" w:rsidRDefault="00BC3C3D" w:rsidP="00FA3210">
      <w:pPr>
        <w:pStyle w:val="ListParagraph"/>
        <w:numPr>
          <w:ilvl w:val="1"/>
          <w:numId w:val="2"/>
        </w:numPr>
        <w:rPr>
          <w:color w:val="000000"/>
        </w:rPr>
      </w:pPr>
      <w:r w:rsidRPr="00BC3C3D">
        <w:rPr>
          <w:color w:val="000000"/>
        </w:rPr>
        <w:t xml:space="preserve">Reduction in pain  </w:t>
      </w:r>
    </w:p>
    <w:p w14:paraId="726C62E6" w14:textId="77777777" w:rsidR="00BC3C3D" w:rsidRPr="00BC3C3D" w:rsidRDefault="00BC3C3D" w:rsidP="00FA3210">
      <w:pPr>
        <w:pStyle w:val="ListParagraph"/>
        <w:numPr>
          <w:ilvl w:val="1"/>
          <w:numId w:val="2"/>
        </w:numPr>
        <w:rPr>
          <w:color w:val="000000"/>
        </w:rPr>
      </w:pPr>
      <w:r w:rsidRPr="00BC3C3D">
        <w:rPr>
          <w:color w:val="000000"/>
        </w:rPr>
        <w:t xml:space="preserve">Reduction in suppuration  </w:t>
      </w:r>
    </w:p>
    <w:p w14:paraId="431AF4C3" w14:textId="77777777" w:rsidR="00BC3C3D" w:rsidRPr="00BC3C3D" w:rsidRDefault="00BC3C3D" w:rsidP="00FA3210">
      <w:pPr>
        <w:pStyle w:val="ListParagraph"/>
        <w:numPr>
          <w:ilvl w:val="1"/>
          <w:numId w:val="2"/>
        </w:numPr>
        <w:rPr>
          <w:color w:val="000000"/>
        </w:rPr>
      </w:pPr>
      <w:r w:rsidRPr="00BC3C3D">
        <w:rPr>
          <w:color w:val="000000"/>
        </w:rPr>
        <w:t xml:space="preserve">Improvement in frequency of relapses  </w:t>
      </w:r>
    </w:p>
    <w:p w14:paraId="7C2CA332" w14:textId="77777777" w:rsidR="00BC3C3D" w:rsidRPr="00BC3C3D" w:rsidRDefault="00BC3C3D" w:rsidP="00FA3210">
      <w:pPr>
        <w:pStyle w:val="ListParagraph"/>
        <w:numPr>
          <w:ilvl w:val="1"/>
          <w:numId w:val="2"/>
        </w:numPr>
        <w:rPr>
          <w:color w:val="000000"/>
        </w:rPr>
      </w:pPr>
      <w:r w:rsidRPr="00BC3C3D">
        <w:rPr>
          <w:color w:val="000000"/>
        </w:rPr>
        <w:t xml:space="preserve">Improvement in quality of life  </w:t>
      </w:r>
    </w:p>
    <w:p w14:paraId="0A1CE612" w14:textId="5A39F361" w:rsidR="00BC3C3D" w:rsidRPr="003618DD" w:rsidRDefault="00BC3C3D" w:rsidP="00FA3210">
      <w:pPr>
        <w:pStyle w:val="ListParagraph"/>
        <w:numPr>
          <w:ilvl w:val="1"/>
          <w:numId w:val="2"/>
        </w:numPr>
        <w:rPr>
          <w:color w:val="000000"/>
        </w:rPr>
      </w:pPr>
      <w:r w:rsidRPr="00BC3C3D">
        <w:rPr>
          <w:color w:val="000000"/>
        </w:rPr>
        <w:t xml:space="preserve">Improvement </w:t>
      </w:r>
      <w:proofErr w:type="gramStart"/>
      <w:r w:rsidRPr="00BC3C3D">
        <w:rPr>
          <w:color w:val="000000"/>
        </w:rPr>
        <w:t>on</w:t>
      </w:r>
      <w:proofErr w:type="gramEnd"/>
      <w:r w:rsidRPr="00BC3C3D">
        <w:rPr>
          <w:color w:val="000000"/>
        </w:rPr>
        <w:t xml:space="preserve"> a disease severity assessment tool  </w:t>
      </w:r>
    </w:p>
    <w:p w14:paraId="03EDF015" w14:textId="36B394AE" w:rsidR="00BC3C3D" w:rsidRPr="00CD1600" w:rsidRDefault="00BC3C3D" w:rsidP="00052D4A">
      <w:pPr>
        <w:pStyle w:val="Heading2"/>
        <w:keepNext/>
      </w:pPr>
      <w:bookmarkStart w:id="25" w:name="_Toc225252216"/>
      <w:r w:rsidRPr="00CD1600">
        <w:t>Enthesitis-related arthritis (ERA)</w:t>
      </w:r>
      <w:bookmarkEnd w:id="25"/>
    </w:p>
    <w:p w14:paraId="11B30806" w14:textId="6D12C3C9" w:rsidR="00BC3C3D" w:rsidRPr="00BC3C3D" w:rsidRDefault="00BC3C3D" w:rsidP="00FA3210">
      <w:pPr>
        <w:pStyle w:val="ListParagraph"/>
        <w:numPr>
          <w:ilvl w:val="0"/>
          <w:numId w:val="2"/>
        </w:numPr>
        <w:rPr>
          <w:color w:val="000000"/>
        </w:rPr>
      </w:pPr>
      <w:r w:rsidRPr="00BC3C3D">
        <w:rPr>
          <w:color w:val="000000"/>
        </w:rPr>
        <w:t xml:space="preserve">Must have recent chart note documentation showing achievement or maintenance of a positive clinical response as evidenced by low disease activity OR improvement in at least ONE of the following from baseline: </w:t>
      </w:r>
    </w:p>
    <w:p w14:paraId="1C478C99" w14:textId="77777777" w:rsidR="00BC3C3D" w:rsidRPr="00BC3C3D" w:rsidRDefault="00BC3C3D" w:rsidP="00FA3210">
      <w:pPr>
        <w:pStyle w:val="ListParagraph"/>
        <w:numPr>
          <w:ilvl w:val="1"/>
          <w:numId w:val="2"/>
        </w:numPr>
        <w:rPr>
          <w:color w:val="000000"/>
        </w:rPr>
      </w:pPr>
      <w:r w:rsidRPr="00BC3C3D">
        <w:rPr>
          <w:color w:val="000000"/>
        </w:rPr>
        <w:t xml:space="preserve">Number of flares </w:t>
      </w:r>
    </w:p>
    <w:p w14:paraId="7FE988D1" w14:textId="77777777" w:rsidR="00BC3C3D" w:rsidRPr="00BC3C3D" w:rsidRDefault="00BC3C3D" w:rsidP="00FA3210">
      <w:pPr>
        <w:pStyle w:val="ListParagraph"/>
        <w:numPr>
          <w:ilvl w:val="1"/>
          <w:numId w:val="2"/>
        </w:numPr>
        <w:rPr>
          <w:color w:val="000000"/>
        </w:rPr>
      </w:pPr>
      <w:r w:rsidRPr="00BC3C3D">
        <w:rPr>
          <w:color w:val="000000"/>
        </w:rPr>
        <w:t xml:space="preserve">Number of joints with active arthritis (e.g., swelling, pain) </w:t>
      </w:r>
    </w:p>
    <w:p w14:paraId="3D32C5D1" w14:textId="77777777" w:rsidR="00BC3C3D" w:rsidRPr="00BC3C3D" w:rsidRDefault="00BC3C3D" w:rsidP="00FA3210">
      <w:pPr>
        <w:pStyle w:val="ListParagraph"/>
        <w:numPr>
          <w:ilvl w:val="1"/>
          <w:numId w:val="2"/>
        </w:numPr>
        <w:rPr>
          <w:color w:val="000000"/>
        </w:rPr>
      </w:pPr>
      <w:r w:rsidRPr="00BC3C3D">
        <w:rPr>
          <w:color w:val="000000"/>
        </w:rPr>
        <w:t xml:space="preserve">Number of joints with limited movement </w:t>
      </w:r>
    </w:p>
    <w:p w14:paraId="5FDBC18F" w14:textId="77777777" w:rsidR="00BC3C3D" w:rsidRPr="00BC3C3D" w:rsidRDefault="00BC3C3D" w:rsidP="00FA3210">
      <w:pPr>
        <w:pStyle w:val="ListParagraph"/>
        <w:numPr>
          <w:ilvl w:val="1"/>
          <w:numId w:val="2"/>
        </w:numPr>
        <w:rPr>
          <w:color w:val="000000"/>
        </w:rPr>
      </w:pPr>
      <w:r w:rsidRPr="00BC3C3D">
        <w:rPr>
          <w:color w:val="000000"/>
        </w:rPr>
        <w:lastRenderedPageBreak/>
        <w:t xml:space="preserve">Dactylitis </w:t>
      </w:r>
    </w:p>
    <w:p w14:paraId="0C9D749A" w14:textId="77777777" w:rsidR="00BC3C3D" w:rsidRPr="00BC3C3D" w:rsidRDefault="00BC3C3D" w:rsidP="00FA3210">
      <w:pPr>
        <w:pStyle w:val="ListParagraph"/>
        <w:numPr>
          <w:ilvl w:val="1"/>
          <w:numId w:val="2"/>
        </w:numPr>
        <w:rPr>
          <w:color w:val="000000"/>
        </w:rPr>
      </w:pPr>
      <w:r w:rsidRPr="00BC3C3D">
        <w:rPr>
          <w:color w:val="000000"/>
        </w:rPr>
        <w:t>Enthesitis</w:t>
      </w:r>
    </w:p>
    <w:p w14:paraId="27CDA761" w14:textId="77777777" w:rsidR="00B04EC0" w:rsidRPr="00121D1A" w:rsidRDefault="00B04EC0" w:rsidP="00B04EC0">
      <w:pPr>
        <w:pStyle w:val="Heading1"/>
      </w:pPr>
      <w:bookmarkStart w:id="26" w:name="_Toc189906977"/>
      <w:bookmarkStart w:id="27" w:name="_Toc225252217"/>
      <w:r>
        <w:t>Approval Durations</w:t>
      </w:r>
      <w:bookmarkEnd w:id="26"/>
      <w:bookmarkEnd w:id="27"/>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0F32C6C1" w:rsidR="00B04EC0" w:rsidRDefault="00B30D81" w:rsidP="00B04EC0">
            <w:pPr>
              <w:pStyle w:val="In-TextTable"/>
            </w:pPr>
            <w:r>
              <w:t xml:space="preserve">Up to </w:t>
            </w:r>
            <w:r w:rsidR="00796FF6">
              <w:t>one</w:t>
            </w:r>
            <w:r>
              <w:t xml:space="preserve"> year</w:t>
            </w:r>
          </w:p>
          <w:p w14:paraId="324FA8C0" w14:textId="07F1DC06"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7DD24011" w:rsidR="00B04EC0" w:rsidRPr="00962841" w:rsidRDefault="00B30D81" w:rsidP="006629B9">
            <w:pPr>
              <w:pStyle w:val="In-TextTable"/>
            </w:pPr>
            <w:r>
              <w:t xml:space="preserve">Same as initial </w:t>
            </w:r>
          </w:p>
        </w:tc>
      </w:tr>
    </w:tbl>
    <w:p w14:paraId="4A713D0B" w14:textId="3B54C40C" w:rsidR="003618DD" w:rsidRPr="003618DD" w:rsidRDefault="003618DD" w:rsidP="003618DD">
      <w:pPr>
        <w:pStyle w:val="Heading1"/>
      </w:pPr>
      <w:bookmarkStart w:id="28" w:name="_Toc225252218"/>
      <w:bookmarkEnd w:id="19"/>
      <w:r>
        <w:t>Appendices</w:t>
      </w:r>
      <w:bookmarkEnd w:id="28"/>
    </w:p>
    <w:p w14:paraId="51B9CF03" w14:textId="29252990" w:rsidR="00BC48FC" w:rsidRPr="003618DD" w:rsidRDefault="00BC48FC" w:rsidP="00BC48FC">
      <w:pPr>
        <w:rPr>
          <w:b/>
          <w:bCs/>
          <w:color w:val="000000"/>
          <w:sz w:val="32"/>
          <w:szCs w:val="32"/>
        </w:rPr>
      </w:pPr>
      <w:r w:rsidRPr="003618DD">
        <w:rPr>
          <w:b/>
          <w:bCs/>
          <w:color w:val="000000"/>
          <w:sz w:val="32"/>
          <w:szCs w:val="32"/>
        </w:rPr>
        <w:t>Appendix 1 – Examples of Clinical Reasons to Avoid Pharmacologic Treatment with Methotrexate, Cyclosporine, Acitretin</w:t>
      </w:r>
      <w:r w:rsidRPr="003618DD">
        <w:rPr>
          <w:b/>
          <w:bCs/>
          <w:color w:val="000000"/>
          <w:sz w:val="32"/>
          <w:szCs w:val="32"/>
        </w:rPr>
        <w:t>,</w:t>
      </w:r>
      <w:r w:rsidRPr="003618DD">
        <w:rPr>
          <w:b/>
          <w:bCs/>
          <w:color w:val="000000"/>
          <w:sz w:val="32"/>
          <w:szCs w:val="32"/>
        </w:rPr>
        <w:t xml:space="preserve"> or Leflunomide </w:t>
      </w:r>
    </w:p>
    <w:p w14:paraId="604795CE" w14:textId="341E4ED9" w:rsidR="00BC48FC" w:rsidRPr="00BC48FC" w:rsidRDefault="00BC48FC" w:rsidP="00FA3210">
      <w:pPr>
        <w:pStyle w:val="ListParagraph"/>
        <w:numPr>
          <w:ilvl w:val="0"/>
          <w:numId w:val="2"/>
        </w:numPr>
        <w:rPr>
          <w:color w:val="000000"/>
        </w:rPr>
      </w:pPr>
      <w:r w:rsidRPr="00BC48FC">
        <w:rPr>
          <w:color w:val="000000"/>
        </w:rPr>
        <w:t>Clinical diagnosis of alcohol use disorder, alcoholic liver disease</w:t>
      </w:r>
      <w:r w:rsidRPr="00BC48FC">
        <w:rPr>
          <w:color w:val="000000"/>
        </w:rPr>
        <w:t>,</w:t>
      </w:r>
      <w:r w:rsidRPr="00BC48FC">
        <w:rPr>
          <w:color w:val="000000"/>
        </w:rPr>
        <w:t xml:space="preserve"> or other chronic liver disease </w:t>
      </w:r>
    </w:p>
    <w:p w14:paraId="354AF95F" w14:textId="77777777" w:rsidR="00BC48FC" w:rsidRPr="00BC48FC" w:rsidRDefault="00BC48FC" w:rsidP="00FA3210">
      <w:pPr>
        <w:pStyle w:val="ListParagraph"/>
        <w:numPr>
          <w:ilvl w:val="0"/>
          <w:numId w:val="2"/>
        </w:numPr>
        <w:rPr>
          <w:color w:val="000000"/>
        </w:rPr>
      </w:pPr>
      <w:r w:rsidRPr="00BC48FC">
        <w:rPr>
          <w:color w:val="000000"/>
        </w:rPr>
        <w:t>Drug interaction </w:t>
      </w:r>
    </w:p>
    <w:p w14:paraId="184D7CD1" w14:textId="77777777" w:rsidR="00BC48FC" w:rsidRPr="00BC48FC" w:rsidRDefault="00BC48FC" w:rsidP="00FA3210">
      <w:pPr>
        <w:pStyle w:val="ListParagraph"/>
        <w:numPr>
          <w:ilvl w:val="0"/>
          <w:numId w:val="2"/>
        </w:numPr>
        <w:rPr>
          <w:color w:val="000000"/>
        </w:rPr>
      </w:pPr>
      <w:r w:rsidRPr="00BC48FC">
        <w:rPr>
          <w:color w:val="000000"/>
        </w:rPr>
        <w:t>Risk of treatment-related toxicity  </w:t>
      </w:r>
    </w:p>
    <w:p w14:paraId="6FBA2674" w14:textId="77777777" w:rsidR="00BC48FC" w:rsidRPr="00BC48FC" w:rsidRDefault="00BC48FC" w:rsidP="00FA3210">
      <w:pPr>
        <w:pStyle w:val="ListParagraph"/>
        <w:numPr>
          <w:ilvl w:val="0"/>
          <w:numId w:val="2"/>
        </w:numPr>
        <w:rPr>
          <w:color w:val="000000"/>
        </w:rPr>
      </w:pPr>
      <w:r w:rsidRPr="00BC48FC">
        <w:rPr>
          <w:color w:val="000000"/>
        </w:rPr>
        <w:t>Pregnancy or currently planning pregnancy  </w:t>
      </w:r>
    </w:p>
    <w:p w14:paraId="536229C0" w14:textId="77777777" w:rsidR="00BC48FC" w:rsidRPr="00BC48FC" w:rsidRDefault="00BC48FC" w:rsidP="00FA3210">
      <w:pPr>
        <w:pStyle w:val="ListParagraph"/>
        <w:numPr>
          <w:ilvl w:val="0"/>
          <w:numId w:val="2"/>
        </w:numPr>
        <w:rPr>
          <w:color w:val="000000"/>
        </w:rPr>
      </w:pPr>
      <w:r w:rsidRPr="00BC48FC">
        <w:rPr>
          <w:color w:val="000000"/>
        </w:rPr>
        <w:t>Breastfeeding  </w:t>
      </w:r>
    </w:p>
    <w:p w14:paraId="77E87D18" w14:textId="77777777" w:rsidR="00BC48FC" w:rsidRPr="00BC48FC" w:rsidRDefault="00BC48FC" w:rsidP="00FA3210">
      <w:pPr>
        <w:pStyle w:val="ListParagraph"/>
        <w:numPr>
          <w:ilvl w:val="0"/>
          <w:numId w:val="2"/>
        </w:numPr>
        <w:rPr>
          <w:color w:val="000000"/>
        </w:rPr>
      </w:pPr>
      <w:r w:rsidRPr="00BC48FC">
        <w:rPr>
          <w:color w:val="000000"/>
        </w:rPr>
        <w:t>Significant comorbidity prohibits use of systemic agents (e.g., liver or kidney disease, blood dyscrasias, uncontrolled hypertension)</w:t>
      </w:r>
    </w:p>
    <w:p w14:paraId="50F6E878" w14:textId="2A55145C" w:rsidR="00E768E6" w:rsidRDefault="00B21AF9" w:rsidP="00104BA4">
      <w:pPr>
        <w:pStyle w:val="Heading1"/>
        <w:keepNext/>
      </w:pPr>
      <w:bookmarkStart w:id="29" w:name="da639a29-a55e-49c4-8655-0f6eeb953c05"/>
      <w:bookmarkStart w:id="30" w:name="_Toc225252219"/>
      <w:r>
        <w:t>Coding and Standards</w:t>
      </w:r>
      <w:bookmarkEnd w:id="29"/>
      <w:bookmarkEnd w:id="30"/>
    </w:p>
    <w:p w14:paraId="0483D19E" w14:textId="545E34E8" w:rsidR="00090D5F" w:rsidRPr="00090D5F" w:rsidRDefault="0088160A" w:rsidP="00104BA4">
      <w:pPr>
        <w:pStyle w:val="Heading2"/>
        <w:keepNext/>
        <w:spacing w:before="120"/>
      </w:pPr>
      <w:bookmarkStart w:id="31" w:name="df230bdd-98a3-4ba3-ae44-f9f8a8a15815"/>
      <w:bookmarkStart w:id="32" w:name="_Toc225252220"/>
      <w:r>
        <w:t>Codes</w:t>
      </w:r>
      <w:bookmarkEnd w:id="31"/>
      <w:bookmarkEnd w:id="32"/>
      <w:r w:rsidR="00402D8F">
        <w:t xml:space="preserve"> </w:t>
      </w:r>
      <w:bookmarkStart w:id="33" w:name="_Codes_(Table_below"/>
      <w:bookmarkStart w:id="34" w:name="8fb7bbad-f1f4-459f-87b7-b715a62bbcef"/>
      <w:bookmarkEnd w:id="33"/>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59EF363E" w:rsidR="005D7959" w:rsidRPr="00141835" w:rsidRDefault="00B30D81" w:rsidP="005D7959">
            <w:pPr>
              <w:pStyle w:val="In-TextTable"/>
            </w:pPr>
            <w:r>
              <w:t>J3247</w:t>
            </w:r>
          </w:p>
        </w:tc>
        <w:tc>
          <w:tcPr>
            <w:tcW w:w="1773" w:type="dxa"/>
            <w:tcBorders>
              <w:top w:val="single" w:sz="6" w:space="0" w:color="auto"/>
              <w:left w:val="single" w:sz="6" w:space="0" w:color="auto"/>
              <w:bottom w:val="single" w:sz="6" w:space="0" w:color="auto"/>
              <w:right w:val="single" w:sz="6" w:space="0" w:color="auto"/>
            </w:tcBorders>
          </w:tcPr>
          <w:p w14:paraId="0FED3A80" w14:textId="4099E62C" w:rsidR="005D7959" w:rsidRDefault="00B30D81" w:rsidP="005D7959">
            <w:pPr>
              <w:pStyle w:val="In-TextTable"/>
            </w:pPr>
            <w:r>
              <w:t>COSENTYX</w:t>
            </w:r>
          </w:p>
        </w:tc>
        <w:tc>
          <w:tcPr>
            <w:tcW w:w="6394" w:type="dxa"/>
            <w:tcBorders>
              <w:top w:val="single" w:sz="6" w:space="0" w:color="auto"/>
              <w:left w:val="single" w:sz="6" w:space="0" w:color="auto"/>
              <w:bottom w:val="single" w:sz="6" w:space="0" w:color="auto"/>
              <w:right w:val="single" w:sz="6" w:space="0" w:color="auto"/>
            </w:tcBorders>
          </w:tcPr>
          <w:p w14:paraId="1AE9F9D3" w14:textId="476120EB" w:rsidR="005D7959" w:rsidRPr="00141835" w:rsidRDefault="00B30D81" w:rsidP="005D7959">
            <w:pPr>
              <w:pStyle w:val="In-TextTable"/>
            </w:pPr>
            <w:r>
              <w:t>INJECTION, SECUKINUMAB, INTRAVENOUS, 1MG</w:t>
            </w:r>
          </w:p>
        </w:tc>
      </w:tr>
    </w:tbl>
    <w:p w14:paraId="50F6E886" w14:textId="0897AF40" w:rsidR="00E768E6" w:rsidRDefault="00B21AF9">
      <w:pPr>
        <w:pStyle w:val="Heading2"/>
      </w:pPr>
      <w:bookmarkStart w:id="35" w:name="_Toc225252221"/>
      <w:r>
        <w:t>Applicable Lines of Business</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36" w:name="bbdd6af5-83c0-477d-9a0b-290b2e0bb618"/>
      <w:bookmarkStart w:id="37" w:name="_Toc225252222"/>
      <w:r>
        <w:t>Background</w:t>
      </w:r>
      <w:bookmarkEnd w:id="36"/>
      <w:bookmarkEnd w:id="37"/>
    </w:p>
    <w:p w14:paraId="700603CB" w14:textId="77777777" w:rsidR="00B30D81" w:rsidRPr="00B30D81" w:rsidRDefault="00B30D81" w:rsidP="00B30D81">
      <w:pPr>
        <w:rPr>
          <w:color w:val="000000"/>
        </w:rPr>
      </w:pPr>
      <w:bookmarkStart w:id="38" w:name="c8f46071-6a85-41b8-910e-ee88343077c4"/>
      <w:r w:rsidRPr="00B30D81">
        <w:rPr>
          <w:color w:val="000000"/>
        </w:rPr>
        <w:t>Cosentyx indicated for the treatment of: </w:t>
      </w:r>
    </w:p>
    <w:p w14:paraId="31CC7384" w14:textId="62F081D4" w:rsidR="00B30D81" w:rsidRPr="00B30D81" w:rsidRDefault="00B30D81" w:rsidP="00FA3210">
      <w:pPr>
        <w:numPr>
          <w:ilvl w:val="0"/>
          <w:numId w:val="4"/>
        </w:numPr>
        <w:rPr>
          <w:color w:val="000000"/>
        </w:rPr>
      </w:pPr>
      <w:r w:rsidRPr="00B30D81">
        <w:rPr>
          <w:color w:val="000000"/>
        </w:rPr>
        <w:t>Moderate</w:t>
      </w:r>
      <w:r w:rsidR="00796FF6">
        <w:rPr>
          <w:color w:val="000000"/>
        </w:rPr>
        <w:t>-</w:t>
      </w:r>
      <w:r w:rsidRPr="00B30D81">
        <w:rPr>
          <w:color w:val="000000"/>
        </w:rPr>
        <w:t>to</w:t>
      </w:r>
      <w:r w:rsidR="00796FF6">
        <w:rPr>
          <w:color w:val="000000"/>
        </w:rPr>
        <w:t>-</w:t>
      </w:r>
      <w:r w:rsidRPr="00B30D81">
        <w:rPr>
          <w:color w:val="000000"/>
        </w:rPr>
        <w:t>severe plaque psoriasis (</w:t>
      </w:r>
      <w:proofErr w:type="spellStart"/>
      <w:r w:rsidRPr="00B30D81">
        <w:rPr>
          <w:color w:val="000000"/>
        </w:rPr>
        <w:t>PsO</w:t>
      </w:r>
      <w:proofErr w:type="spellEnd"/>
      <w:r w:rsidRPr="00B30D81">
        <w:rPr>
          <w:color w:val="000000"/>
        </w:rPr>
        <w:t xml:space="preserve">) in patients </w:t>
      </w:r>
      <w:r w:rsidR="00796FF6">
        <w:rPr>
          <w:color w:val="000000"/>
        </w:rPr>
        <w:t xml:space="preserve">ages </w:t>
      </w:r>
      <w:r w:rsidRPr="00B30D81">
        <w:rPr>
          <w:color w:val="000000"/>
        </w:rPr>
        <w:t xml:space="preserve">6 </w:t>
      </w:r>
      <w:r w:rsidR="00796FF6">
        <w:rPr>
          <w:color w:val="000000"/>
        </w:rPr>
        <w:t>or</w:t>
      </w:r>
      <w:r w:rsidRPr="00B30D81">
        <w:rPr>
          <w:color w:val="000000"/>
        </w:rPr>
        <w:t xml:space="preserve"> older who are candidates for systemic therapy or phototherapy </w:t>
      </w:r>
    </w:p>
    <w:p w14:paraId="0B7850AB" w14:textId="505093F6" w:rsidR="00B30D81" w:rsidRPr="00B30D81" w:rsidRDefault="00B30D81" w:rsidP="00FA3210">
      <w:pPr>
        <w:numPr>
          <w:ilvl w:val="0"/>
          <w:numId w:val="5"/>
        </w:numPr>
        <w:rPr>
          <w:color w:val="000000"/>
        </w:rPr>
      </w:pPr>
      <w:r w:rsidRPr="00B30D81">
        <w:rPr>
          <w:color w:val="000000"/>
        </w:rPr>
        <w:t xml:space="preserve">Active psoriatic arthritis (PsA) in patients </w:t>
      </w:r>
      <w:r w:rsidR="00796FF6">
        <w:rPr>
          <w:color w:val="000000"/>
        </w:rPr>
        <w:t xml:space="preserve">ages </w:t>
      </w:r>
      <w:r w:rsidRPr="00B30D81">
        <w:rPr>
          <w:color w:val="000000"/>
        </w:rPr>
        <w:t xml:space="preserve">2 </w:t>
      </w:r>
      <w:r w:rsidR="00796FF6">
        <w:rPr>
          <w:color w:val="000000"/>
        </w:rPr>
        <w:t>or</w:t>
      </w:r>
      <w:r w:rsidRPr="00B30D81">
        <w:rPr>
          <w:color w:val="000000"/>
        </w:rPr>
        <w:t xml:space="preserve"> older </w:t>
      </w:r>
    </w:p>
    <w:p w14:paraId="21BB6F10" w14:textId="77777777" w:rsidR="00B30D81" w:rsidRPr="00B30D81" w:rsidRDefault="00B30D81" w:rsidP="00FA3210">
      <w:pPr>
        <w:numPr>
          <w:ilvl w:val="0"/>
          <w:numId w:val="6"/>
        </w:numPr>
        <w:rPr>
          <w:color w:val="000000"/>
        </w:rPr>
      </w:pPr>
      <w:r w:rsidRPr="00B30D81">
        <w:rPr>
          <w:color w:val="000000"/>
        </w:rPr>
        <w:t>Adults with active ankylosing spondylitis (AS) </w:t>
      </w:r>
    </w:p>
    <w:p w14:paraId="2EA08278" w14:textId="77777777" w:rsidR="00B30D81" w:rsidRPr="00B30D81" w:rsidRDefault="00B30D81" w:rsidP="00FA3210">
      <w:pPr>
        <w:numPr>
          <w:ilvl w:val="0"/>
          <w:numId w:val="7"/>
        </w:numPr>
        <w:rPr>
          <w:color w:val="000000"/>
        </w:rPr>
      </w:pPr>
      <w:r w:rsidRPr="00B30D81">
        <w:rPr>
          <w:color w:val="000000"/>
        </w:rPr>
        <w:t>Adults with active non-radiographic axial spondyloarthritis (nr-</w:t>
      </w:r>
      <w:proofErr w:type="spellStart"/>
      <w:r w:rsidRPr="00B30D81">
        <w:rPr>
          <w:color w:val="000000"/>
        </w:rPr>
        <w:t>axSpA</w:t>
      </w:r>
      <w:proofErr w:type="spellEnd"/>
      <w:r w:rsidRPr="00B30D81">
        <w:rPr>
          <w:color w:val="000000"/>
        </w:rPr>
        <w:t>) with objective signs of inflammation </w:t>
      </w:r>
    </w:p>
    <w:p w14:paraId="5EB9FE46" w14:textId="55658823" w:rsidR="00B30D81" w:rsidRPr="00B30D81" w:rsidRDefault="00B30D81" w:rsidP="00FA3210">
      <w:pPr>
        <w:numPr>
          <w:ilvl w:val="0"/>
          <w:numId w:val="8"/>
        </w:numPr>
        <w:rPr>
          <w:color w:val="000000"/>
        </w:rPr>
      </w:pPr>
      <w:r w:rsidRPr="00B30D81">
        <w:rPr>
          <w:color w:val="000000"/>
        </w:rPr>
        <w:t xml:space="preserve">Active enthesitis-related arthritis (ERA) in pediatric patients </w:t>
      </w:r>
      <w:r w:rsidR="00796FF6">
        <w:rPr>
          <w:color w:val="000000"/>
        </w:rPr>
        <w:t xml:space="preserve">ages </w:t>
      </w:r>
      <w:r w:rsidRPr="00B30D81">
        <w:rPr>
          <w:color w:val="000000"/>
        </w:rPr>
        <w:t xml:space="preserve">4 </w:t>
      </w:r>
      <w:r w:rsidR="00796FF6">
        <w:rPr>
          <w:color w:val="000000"/>
        </w:rPr>
        <w:t>or</w:t>
      </w:r>
      <w:r w:rsidRPr="00B30D81">
        <w:rPr>
          <w:color w:val="000000"/>
        </w:rPr>
        <w:t xml:space="preserve"> older </w:t>
      </w:r>
    </w:p>
    <w:p w14:paraId="205CA49D" w14:textId="77777777" w:rsidR="00B30D81" w:rsidRPr="00B30D81" w:rsidRDefault="00B30D81" w:rsidP="00FA3210">
      <w:pPr>
        <w:numPr>
          <w:ilvl w:val="0"/>
          <w:numId w:val="9"/>
        </w:numPr>
        <w:rPr>
          <w:color w:val="000000"/>
        </w:rPr>
      </w:pPr>
      <w:r w:rsidRPr="00B30D81">
        <w:rPr>
          <w:color w:val="000000"/>
        </w:rPr>
        <w:t>Adults with moderate-to-severe hidradenitis suppurativa (HS) </w:t>
      </w:r>
    </w:p>
    <w:p w14:paraId="653DF4E8" w14:textId="2C24D9A1" w:rsidR="004C3BCE" w:rsidRPr="00121D1A" w:rsidRDefault="004C3BCE" w:rsidP="003B327C">
      <w:pPr>
        <w:pStyle w:val="Heading2"/>
      </w:pPr>
      <w:bookmarkStart w:id="39" w:name="_Toc189738351"/>
      <w:bookmarkStart w:id="40" w:name="_Toc225252223"/>
      <w:r>
        <w:t>Definitions</w:t>
      </w:r>
      <w:bookmarkEnd w:id="39"/>
      <w:bookmarkEnd w:id="40"/>
    </w:p>
    <w:p w14:paraId="60ACA65D" w14:textId="10F63534" w:rsidR="00B30D81" w:rsidRPr="00B30D81" w:rsidRDefault="00B30D81" w:rsidP="00B30D81">
      <w:r w:rsidRPr="00B30D81">
        <w:rPr>
          <w:b/>
          <w:bCs/>
        </w:rPr>
        <w:t>Dactylitis</w:t>
      </w:r>
      <w:r w:rsidRPr="00B30D81">
        <w:t> – a painful inflammation of the fingers or toes; a sausage</w:t>
      </w:r>
      <w:r w:rsidR="004F0CF5">
        <w:t>-</w:t>
      </w:r>
      <w:r w:rsidRPr="00B30D81">
        <w:t>shaped digit associated with psoriatic arthritis </w:t>
      </w:r>
    </w:p>
    <w:p w14:paraId="2867490E" w14:textId="3450FBD4" w:rsidR="00B30D81" w:rsidRPr="00B30D81" w:rsidRDefault="00B30D81" w:rsidP="00B30D81">
      <w:r w:rsidRPr="00B30D81">
        <w:rPr>
          <w:b/>
          <w:bCs/>
        </w:rPr>
        <w:t>DMARDs –</w:t>
      </w:r>
      <w:r w:rsidRPr="00B30D81">
        <w:t> Disease-Modifying Anti-Rheumatic Drugs  </w:t>
      </w:r>
    </w:p>
    <w:p w14:paraId="1465C05D" w14:textId="07B1F885" w:rsidR="00B30D81" w:rsidRPr="00B30D81" w:rsidRDefault="00B30D81" w:rsidP="00B30D81">
      <w:r w:rsidRPr="00B30D81">
        <w:rPr>
          <w:b/>
          <w:bCs/>
        </w:rPr>
        <w:t>Enthesitis – </w:t>
      </w:r>
      <w:r w:rsidRPr="00B30D81">
        <w:t xml:space="preserve">inflammation of sites where tendons or ligaments insert into the bone. It is also called enthesopathy or any pathologic condition involving </w:t>
      </w:r>
      <w:proofErr w:type="gramStart"/>
      <w:r w:rsidRPr="00B30D81">
        <w:t>the enthuses</w:t>
      </w:r>
      <w:proofErr w:type="gramEnd"/>
      <w:r w:rsidRPr="00B30D81">
        <w:t>. The enthuses are any point of attachment of skeletal muscles to the bone where recurring stress or inflammatory autoimmune disease can cause inflammation or occasionally fibrosis and calcification</w:t>
      </w:r>
      <w:r w:rsidR="004F0CF5">
        <w:t>.</w:t>
      </w:r>
      <w:r w:rsidRPr="00B30D81">
        <w:t> </w:t>
      </w:r>
    </w:p>
    <w:p w14:paraId="4D96709C" w14:textId="6ABC8619" w:rsidR="00B30D81" w:rsidRPr="00B30D81" w:rsidRDefault="00B30D81" w:rsidP="00B30D81">
      <w:r w:rsidRPr="00B30D81">
        <w:t> </w:t>
      </w:r>
      <w:r w:rsidRPr="00B30D81">
        <w:rPr>
          <w:b/>
          <w:bCs/>
        </w:rPr>
        <w:t>NSAIDs –</w:t>
      </w:r>
      <w:r w:rsidRPr="00B30D81">
        <w:t> Nonsteroidal anti-inflammatory drugs  </w:t>
      </w:r>
    </w:p>
    <w:p w14:paraId="50F6E8A9" w14:textId="365336F4" w:rsidR="00E768E6" w:rsidRDefault="00B21AF9" w:rsidP="00E35E4A">
      <w:pPr>
        <w:pStyle w:val="Heading1"/>
      </w:pPr>
      <w:bookmarkStart w:id="41" w:name="_Toc225252224"/>
      <w:r>
        <w:t>Policy History</w:t>
      </w:r>
      <w:bookmarkEnd w:id="38"/>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2A0A3EBB" w:rsidR="00E768E6" w:rsidRDefault="00121D1A" w:rsidP="00E35E4A">
            <w:pPr>
              <w:pStyle w:val="In-TextTable"/>
            </w:pPr>
            <w:r>
              <w:t>M</w:t>
            </w:r>
            <w:r w:rsidR="005C0FF2">
              <w:t>arch 2026</w:t>
            </w:r>
          </w:p>
        </w:tc>
        <w:tc>
          <w:tcPr>
            <w:tcW w:w="3755" w:type="pct"/>
          </w:tcPr>
          <w:p w14:paraId="50F6E8AF" w14:textId="1CDDD65E" w:rsidR="00E35E4A" w:rsidRDefault="0058298E" w:rsidP="00FA3210">
            <w:pPr>
              <w:pStyle w:val="ListParagraph"/>
              <w:numPr>
                <w:ilvl w:val="0"/>
                <w:numId w:val="1"/>
              </w:numPr>
            </w:pPr>
            <w:r>
              <w:t xml:space="preserve">Annual </w:t>
            </w:r>
            <w:r w:rsidR="004F0CF5">
              <w:t>r</w:t>
            </w:r>
            <w:r>
              <w:t>eview</w:t>
            </w:r>
          </w:p>
        </w:tc>
      </w:tr>
      <w:tr w:rsidR="00E768E6" w14:paraId="50F6E8B4" w14:textId="77777777" w:rsidTr="00E35E4A">
        <w:tc>
          <w:tcPr>
            <w:tcW w:w="1245" w:type="pct"/>
          </w:tcPr>
          <w:p w14:paraId="50F6E8B1" w14:textId="14378481" w:rsidR="00E768E6" w:rsidRDefault="0058298E" w:rsidP="00E35E4A">
            <w:pPr>
              <w:pStyle w:val="In-TextTable"/>
            </w:pPr>
            <w:r>
              <w:t>October 2024</w:t>
            </w:r>
          </w:p>
        </w:tc>
        <w:tc>
          <w:tcPr>
            <w:tcW w:w="3755" w:type="pct"/>
          </w:tcPr>
          <w:p w14:paraId="50F6E8B3" w14:textId="27F67FAB" w:rsidR="00E768E6" w:rsidRDefault="0058298E" w:rsidP="00FA3210">
            <w:pPr>
              <w:pStyle w:val="ListParagraph"/>
              <w:numPr>
                <w:ilvl w:val="0"/>
                <w:numId w:val="1"/>
              </w:numPr>
            </w:pPr>
            <w:r>
              <w:rPr>
                <w:color w:val="000000"/>
              </w:rPr>
              <w:t xml:space="preserve">New </w:t>
            </w:r>
            <w:r w:rsidR="004F0CF5">
              <w:rPr>
                <w:color w:val="000000"/>
              </w:rPr>
              <w:t>g</w:t>
            </w:r>
            <w:r>
              <w:rPr>
                <w:color w:val="000000"/>
              </w:rPr>
              <w:t>uideline</w:t>
            </w:r>
          </w:p>
        </w:tc>
      </w:tr>
    </w:tbl>
    <w:p w14:paraId="50F6E8BE" w14:textId="77777777" w:rsidR="00E768E6" w:rsidRDefault="00B21AF9" w:rsidP="00A03DEC">
      <w:pPr>
        <w:pStyle w:val="Heading1"/>
      </w:pPr>
      <w:bookmarkStart w:id="42" w:name="4b512564-b43b-4807-b45a-5748be5b1408"/>
      <w:bookmarkStart w:id="43" w:name="_Toc225252225"/>
      <w:r>
        <w:lastRenderedPageBreak/>
        <w:t>Legal and Compliance</w:t>
      </w:r>
      <w:bookmarkEnd w:id="42"/>
      <w:bookmarkEnd w:id="43"/>
    </w:p>
    <w:p w14:paraId="50F6E8BF" w14:textId="77777777" w:rsidR="00E768E6" w:rsidRDefault="00B21AF9" w:rsidP="00A03DEC">
      <w:pPr>
        <w:pStyle w:val="Heading2"/>
        <w:spacing w:before="120"/>
      </w:pPr>
      <w:bookmarkStart w:id="44" w:name="04291978-1a0a-4575-ba22-05363952021b"/>
      <w:bookmarkStart w:id="45" w:name="_Toc225252226"/>
      <w:r>
        <w:t>Guideline Approval</w:t>
      </w:r>
      <w:bookmarkEnd w:id="44"/>
      <w:bookmarkEnd w:id="45"/>
    </w:p>
    <w:p w14:paraId="50F6E8C0" w14:textId="77777777" w:rsidR="00E768E6" w:rsidRDefault="00B21AF9" w:rsidP="00A03DEC">
      <w:pPr>
        <w:pStyle w:val="Heading3"/>
        <w:spacing w:before="120"/>
      </w:pPr>
      <w:bookmarkStart w:id="46" w:name="b97fcac7-a717-42a2-b4fe-62c00859e1e4"/>
      <w:bookmarkStart w:id="47" w:name="_Toc225252227"/>
      <w:r>
        <w:t>Committee</w:t>
      </w:r>
      <w:bookmarkEnd w:id="46"/>
      <w:bookmarkEnd w:id="47"/>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48" w:name="2aca8366-a793-4f5d-9375-d9ccb446b05d"/>
      <w:bookmarkStart w:id="49" w:name="_Toc225252228"/>
      <w:r>
        <w:t>Disclaimer</w:t>
      </w:r>
      <w:bookmarkEnd w:id="48"/>
      <w:bookmarkEnd w:id="49"/>
    </w:p>
    <w:p w14:paraId="3E667631" w14:textId="10D30882" w:rsidR="00A563F9" w:rsidRPr="00A563F9" w:rsidRDefault="00A563F9" w:rsidP="00A563F9">
      <w:pPr>
        <w:rPr>
          <w:i/>
          <w:iCs/>
          <w:color w:val="000000"/>
        </w:rPr>
      </w:pPr>
      <w:r w:rsidRPr="00A563F9">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7BD11A6D" w14:textId="77777777" w:rsidR="00A563F9" w:rsidRPr="00A563F9" w:rsidRDefault="00A563F9" w:rsidP="00A563F9">
      <w:pPr>
        <w:rPr>
          <w:i/>
          <w:iCs/>
          <w:color w:val="000000"/>
        </w:rPr>
      </w:pPr>
    </w:p>
    <w:p w14:paraId="3DD7D67B" w14:textId="1FEFC5A1" w:rsidR="00EC7EE7" w:rsidRDefault="00A563F9" w:rsidP="00A563F9">
      <w:pPr>
        <w:rPr>
          <w:rFonts w:eastAsia="Calibri" w:cs="Calibri"/>
          <w:b/>
          <w:bCs/>
          <w:caps/>
          <w:sz w:val="36"/>
          <w:szCs w:val="28"/>
        </w:rPr>
      </w:pPr>
      <w:r w:rsidRPr="00A563F9">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A563F9">
        <w:rPr>
          <w:i/>
          <w:iCs/>
          <w:color w:val="000000"/>
        </w:rPr>
        <w:t>is</w:t>
      </w:r>
      <w:proofErr w:type="gramEnd"/>
      <w:r w:rsidRPr="00A563F9">
        <w:rPr>
          <w:i/>
          <w:iCs/>
          <w:color w:val="000000"/>
        </w:rPr>
        <w:t xml:space="preserve"> not fully established. When Medicare criteria </w:t>
      </w:r>
      <w:proofErr w:type="gramStart"/>
      <w:r w:rsidRPr="00A563F9">
        <w:rPr>
          <w:i/>
          <w:iCs/>
          <w:color w:val="000000"/>
        </w:rPr>
        <w:t>is</w:t>
      </w:r>
      <w:proofErr w:type="gramEnd"/>
      <w:r w:rsidRPr="00A563F9">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A563F9">
        <w:rPr>
          <w:i/>
          <w:iCs/>
          <w:color w:val="000000"/>
        </w:rPr>
        <w:t>in order to</w:t>
      </w:r>
      <w:proofErr w:type="gramEnd"/>
      <w:r w:rsidRPr="00A563F9">
        <w:rPr>
          <w:i/>
          <w:iCs/>
          <w:color w:val="000000"/>
        </w:rPr>
        <w:t xml:space="preserve"> determine medical necessity.</w:t>
      </w:r>
      <w:r w:rsidR="00EC7EE7">
        <w:br w:type="page"/>
      </w:r>
    </w:p>
    <w:p w14:paraId="50F6E8C6" w14:textId="04369AA8" w:rsidR="00E768E6" w:rsidRDefault="00B21AF9" w:rsidP="00A03DEC">
      <w:pPr>
        <w:pStyle w:val="Heading1"/>
      </w:pPr>
      <w:bookmarkStart w:id="50" w:name="_Toc225252229"/>
      <w:r>
        <w:lastRenderedPageBreak/>
        <w:t>References</w:t>
      </w:r>
      <w:bookmarkEnd w:id="50"/>
    </w:p>
    <w:p w14:paraId="57AA3C39" w14:textId="7ECF1F0C" w:rsidR="00B30D81" w:rsidRPr="00B30D81" w:rsidRDefault="00B30D81" w:rsidP="005C0FF2">
      <w:pPr>
        <w:numPr>
          <w:ilvl w:val="0"/>
          <w:numId w:val="10"/>
        </w:numPr>
        <w:tabs>
          <w:tab w:val="clear" w:pos="720"/>
          <w:tab w:val="num" w:pos="360"/>
        </w:tabs>
        <w:spacing w:after="0" w:line="278" w:lineRule="auto"/>
        <w:ind w:left="360"/>
        <w:contextualSpacing/>
        <w:rPr>
          <w:rFonts w:cs="Arial"/>
        </w:rPr>
      </w:pPr>
      <w:r w:rsidRPr="00B30D81">
        <w:rPr>
          <w:rFonts w:cs="Arial"/>
        </w:rPr>
        <w:t xml:space="preserve">Cosentyx </w:t>
      </w:r>
      <w:r w:rsidR="00DB1BC8">
        <w:rPr>
          <w:rFonts w:cs="Arial"/>
        </w:rPr>
        <w:t>(</w:t>
      </w:r>
      <w:proofErr w:type="spellStart"/>
      <w:r w:rsidR="00DB1BC8">
        <w:rPr>
          <w:rFonts w:cs="Arial"/>
        </w:rPr>
        <w:t>secukinumab</w:t>
      </w:r>
      <w:proofErr w:type="spellEnd"/>
      <w:r w:rsidR="00DB1BC8">
        <w:rPr>
          <w:rFonts w:cs="Arial"/>
        </w:rPr>
        <w:t xml:space="preserve">) </w:t>
      </w:r>
      <w:r w:rsidRPr="00B30D81">
        <w:rPr>
          <w:rFonts w:cs="Arial"/>
        </w:rPr>
        <w:t xml:space="preserve">[package insert]. East Hanover, NJ: Novartis Pharmaceuticals Corporation; </w:t>
      </w:r>
      <w:r w:rsidR="00DB1BC8">
        <w:rPr>
          <w:rFonts w:cs="Arial"/>
        </w:rPr>
        <w:t>August 2025</w:t>
      </w:r>
      <w:r w:rsidRPr="00B30D81">
        <w:rPr>
          <w:rFonts w:cs="Arial"/>
        </w:rPr>
        <w:t>.  </w:t>
      </w:r>
    </w:p>
    <w:p w14:paraId="38D5429B" w14:textId="5AF9BC01" w:rsidR="00B30D81" w:rsidRPr="00B30D81" w:rsidRDefault="00B30D81" w:rsidP="005C0FF2">
      <w:pPr>
        <w:numPr>
          <w:ilvl w:val="0"/>
          <w:numId w:val="11"/>
        </w:numPr>
        <w:tabs>
          <w:tab w:val="clear" w:pos="720"/>
          <w:tab w:val="num" w:pos="360"/>
        </w:tabs>
        <w:spacing w:after="0" w:line="278" w:lineRule="auto"/>
        <w:ind w:left="360"/>
        <w:contextualSpacing/>
        <w:rPr>
          <w:rFonts w:cs="Arial"/>
        </w:rPr>
      </w:pPr>
      <w:r w:rsidRPr="00B30D81">
        <w:rPr>
          <w:rFonts w:cs="Arial"/>
        </w:rPr>
        <w:t>Menter A, Korman NJ, </w:t>
      </w:r>
      <w:proofErr w:type="spellStart"/>
      <w:r w:rsidRPr="00B30D81">
        <w:rPr>
          <w:rFonts w:cs="Arial"/>
        </w:rPr>
        <w:t>Elmets</w:t>
      </w:r>
      <w:proofErr w:type="spellEnd"/>
      <w:r w:rsidRPr="00B30D81">
        <w:rPr>
          <w:rFonts w:cs="Arial"/>
        </w:rPr>
        <w:t xml:space="preserve"> CA, et al. Guidelines of care for the management of psoriasis and psoriatic arthritis. Section 6: Guidelines of care for the treatment of psoriasis and psoriatic arthritis: case-based presentations and evidence-based conclusions. J </w:t>
      </w:r>
      <w:r>
        <w:rPr>
          <w:rFonts w:cs="Arial"/>
        </w:rPr>
        <w:t>A</w:t>
      </w:r>
      <w:r w:rsidRPr="00B30D81">
        <w:rPr>
          <w:rFonts w:cs="Arial"/>
        </w:rPr>
        <w:t>m Acad Dermatol. 2011;65(1):137-174.  </w:t>
      </w:r>
    </w:p>
    <w:p w14:paraId="6868FD5D" w14:textId="77777777" w:rsidR="00B30D81" w:rsidRPr="00B30D81" w:rsidRDefault="00B30D81" w:rsidP="005C0FF2">
      <w:pPr>
        <w:numPr>
          <w:ilvl w:val="0"/>
          <w:numId w:val="12"/>
        </w:numPr>
        <w:tabs>
          <w:tab w:val="clear" w:pos="720"/>
          <w:tab w:val="num" w:pos="360"/>
        </w:tabs>
        <w:spacing w:after="0" w:line="278" w:lineRule="auto"/>
        <w:ind w:left="360"/>
        <w:contextualSpacing/>
        <w:rPr>
          <w:rFonts w:cs="Arial"/>
        </w:rPr>
      </w:pPr>
      <w:proofErr w:type="spellStart"/>
      <w:r w:rsidRPr="00B30D81">
        <w:rPr>
          <w:rFonts w:cs="Arial"/>
        </w:rPr>
        <w:t>Gossec</w:t>
      </w:r>
      <w:proofErr w:type="spellEnd"/>
      <w:r w:rsidRPr="00B30D81">
        <w:rPr>
          <w:rFonts w:cs="Arial"/>
        </w:rPr>
        <w:t> L, </w:t>
      </w:r>
      <w:proofErr w:type="spellStart"/>
      <w:r w:rsidRPr="00B30D81">
        <w:rPr>
          <w:rFonts w:cs="Arial"/>
        </w:rPr>
        <w:t>Baraliakos</w:t>
      </w:r>
      <w:proofErr w:type="spellEnd"/>
      <w:r w:rsidRPr="00B30D81">
        <w:rPr>
          <w:rFonts w:cs="Arial"/>
        </w:rPr>
        <w:t> X, </w:t>
      </w:r>
      <w:proofErr w:type="spellStart"/>
      <w:r w:rsidRPr="00B30D81">
        <w:rPr>
          <w:rFonts w:cs="Arial"/>
        </w:rPr>
        <w:t>Kerschbaumer</w:t>
      </w:r>
      <w:proofErr w:type="spellEnd"/>
      <w:r w:rsidRPr="00B30D81">
        <w:rPr>
          <w:rFonts w:cs="Arial"/>
        </w:rPr>
        <w:t> A, et al. European League Against Rheumatism (EULAR) recommendations for the management of psoriatic arthritis with pharmacological therapies: 2019 update. Ann Rheum Dis. 2020;79(6):700-712.  </w:t>
      </w:r>
    </w:p>
    <w:p w14:paraId="1ECCB673" w14:textId="77777777" w:rsidR="00B30D81" w:rsidRPr="00B30D81" w:rsidRDefault="00B30D81" w:rsidP="005C0FF2">
      <w:pPr>
        <w:numPr>
          <w:ilvl w:val="0"/>
          <w:numId w:val="13"/>
        </w:numPr>
        <w:tabs>
          <w:tab w:val="clear" w:pos="720"/>
          <w:tab w:val="num" w:pos="360"/>
        </w:tabs>
        <w:spacing w:after="0" w:line="278" w:lineRule="auto"/>
        <w:ind w:left="360"/>
        <w:contextualSpacing/>
        <w:rPr>
          <w:rFonts w:cs="Arial"/>
        </w:rPr>
      </w:pPr>
      <w:r w:rsidRPr="00B30D81">
        <w:rPr>
          <w:rFonts w:cs="Arial"/>
        </w:rPr>
        <w:t>McInnes IB, Mease PJ, Kirkham B, et al. </w:t>
      </w:r>
      <w:proofErr w:type="spellStart"/>
      <w:r w:rsidRPr="00B30D81">
        <w:rPr>
          <w:rFonts w:cs="Arial"/>
        </w:rPr>
        <w:t>Secukinumab</w:t>
      </w:r>
      <w:proofErr w:type="spellEnd"/>
      <w:r w:rsidRPr="00B30D81">
        <w:rPr>
          <w:rFonts w:cs="Arial"/>
        </w:rPr>
        <w:t>, a human anti-interleukin-17A monoclonal antibody, in patients with psoriatic arthritis (FUTURE 2): a </w:t>
      </w:r>
      <w:proofErr w:type="spellStart"/>
      <w:r w:rsidRPr="00B30D81">
        <w:rPr>
          <w:rFonts w:cs="Arial"/>
        </w:rPr>
        <w:t>randomised</w:t>
      </w:r>
      <w:proofErr w:type="spellEnd"/>
      <w:r w:rsidRPr="00B30D81">
        <w:rPr>
          <w:rFonts w:cs="Arial"/>
        </w:rPr>
        <w:t>, double-blind, placebo-controlled, phase 3 trial. Lancet. 2015;386(9999):1137-46.  </w:t>
      </w:r>
    </w:p>
    <w:p w14:paraId="2E800F34" w14:textId="77777777" w:rsidR="00B30D81" w:rsidRPr="00B30D81" w:rsidRDefault="00B30D81" w:rsidP="005C0FF2">
      <w:pPr>
        <w:numPr>
          <w:ilvl w:val="0"/>
          <w:numId w:val="14"/>
        </w:numPr>
        <w:tabs>
          <w:tab w:val="clear" w:pos="720"/>
          <w:tab w:val="num" w:pos="360"/>
        </w:tabs>
        <w:spacing w:after="0" w:line="278" w:lineRule="auto"/>
        <w:ind w:left="360"/>
        <w:contextualSpacing/>
        <w:rPr>
          <w:rFonts w:cs="Arial"/>
        </w:rPr>
      </w:pPr>
      <w:r w:rsidRPr="00B30D81">
        <w:rPr>
          <w:rFonts w:cs="Arial"/>
        </w:rPr>
        <w:t>Braun J, van den Berg R, </w:t>
      </w:r>
      <w:proofErr w:type="spellStart"/>
      <w:r w:rsidRPr="00B30D81">
        <w:rPr>
          <w:rFonts w:cs="Arial"/>
        </w:rPr>
        <w:t>Baraliakos</w:t>
      </w:r>
      <w:proofErr w:type="spellEnd"/>
      <w:r w:rsidRPr="00B30D81">
        <w:rPr>
          <w:rFonts w:cs="Arial"/>
        </w:rPr>
        <w:t>, X et al. 2010 update of the ASAS/EULAR recommendations for the management of ankylosing spondylitis. Ann Rheum Dis. </w:t>
      </w:r>
      <w:proofErr w:type="gramStart"/>
      <w:r w:rsidRPr="00B30D81">
        <w:rPr>
          <w:rFonts w:cs="Arial"/>
        </w:rPr>
        <w:t>2011;70:896</w:t>
      </w:r>
      <w:proofErr w:type="gramEnd"/>
      <w:r w:rsidRPr="00B30D81">
        <w:rPr>
          <w:rFonts w:cs="Arial"/>
        </w:rPr>
        <w:t>–904.  </w:t>
      </w:r>
    </w:p>
    <w:p w14:paraId="01D404ED" w14:textId="77777777" w:rsidR="00B30D81" w:rsidRPr="00B30D81" w:rsidRDefault="00B30D81" w:rsidP="005C0FF2">
      <w:pPr>
        <w:numPr>
          <w:ilvl w:val="0"/>
          <w:numId w:val="15"/>
        </w:numPr>
        <w:tabs>
          <w:tab w:val="clear" w:pos="720"/>
          <w:tab w:val="num" w:pos="360"/>
        </w:tabs>
        <w:spacing w:after="0" w:line="278" w:lineRule="auto"/>
        <w:ind w:left="360"/>
        <w:contextualSpacing/>
        <w:rPr>
          <w:rFonts w:cs="Arial"/>
        </w:rPr>
      </w:pPr>
      <w:r w:rsidRPr="00B30D81">
        <w:rPr>
          <w:rFonts w:cs="Arial"/>
        </w:rPr>
        <w:t>Ward MM, Deodhar A, Gensler LS, et al. 2019 Update of the American College of Rheumatology/Spondylitis Association of America/Spondyloarthritis Research and Treatment Network Recommendations for the treatment of ankylosing spondylitis and </w:t>
      </w:r>
      <w:proofErr w:type="spellStart"/>
      <w:r w:rsidRPr="00B30D81">
        <w:rPr>
          <w:rFonts w:cs="Arial"/>
        </w:rPr>
        <w:t>nonradiographic</w:t>
      </w:r>
      <w:proofErr w:type="spellEnd"/>
      <w:r w:rsidRPr="00B30D81">
        <w:rPr>
          <w:rFonts w:cs="Arial"/>
        </w:rPr>
        <w:t> axial spondyloarthritis. Arthritis </w:t>
      </w:r>
      <w:proofErr w:type="spellStart"/>
      <w:r w:rsidRPr="00B30D81">
        <w:rPr>
          <w:rFonts w:cs="Arial"/>
        </w:rPr>
        <w:t>Rheumatol</w:t>
      </w:r>
      <w:proofErr w:type="spellEnd"/>
      <w:r w:rsidRPr="00B30D81">
        <w:rPr>
          <w:rFonts w:cs="Arial"/>
        </w:rPr>
        <w:t>. 2019;71(10):1285-1299.  </w:t>
      </w:r>
    </w:p>
    <w:p w14:paraId="3DCDB311" w14:textId="77777777" w:rsidR="00B30D81" w:rsidRPr="00B30D81" w:rsidRDefault="00B30D81" w:rsidP="005C0FF2">
      <w:pPr>
        <w:numPr>
          <w:ilvl w:val="0"/>
          <w:numId w:val="16"/>
        </w:numPr>
        <w:tabs>
          <w:tab w:val="clear" w:pos="720"/>
          <w:tab w:val="num" w:pos="360"/>
        </w:tabs>
        <w:spacing w:after="0" w:line="278" w:lineRule="auto"/>
        <w:ind w:left="360"/>
        <w:contextualSpacing/>
        <w:rPr>
          <w:rFonts w:cs="Arial"/>
        </w:rPr>
      </w:pPr>
      <w:r w:rsidRPr="00B30D81">
        <w:rPr>
          <w:rFonts w:cs="Arial"/>
        </w:rPr>
        <w:t>Baeten D, </w:t>
      </w:r>
      <w:proofErr w:type="spellStart"/>
      <w:r w:rsidRPr="00B30D81">
        <w:rPr>
          <w:rFonts w:cs="Arial"/>
        </w:rPr>
        <w:t>Sieper</w:t>
      </w:r>
      <w:proofErr w:type="spellEnd"/>
      <w:r w:rsidRPr="00B30D81">
        <w:rPr>
          <w:rFonts w:cs="Arial"/>
        </w:rPr>
        <w:t> J, Braun J, et al. </w:t>
      </w:r>
      <w:proofErr w:type="spellStart"/>
      <w:r w:rsidRPr="00B30D81">
        <w:rPr>
          <w:rFonts w:cs="Arial"/>
        </w:rPr>
        <w:t>Secukinumab</w:t>
      </w:r>
      <w:proofErr w:type="spellEnd"/>
      <w:r w:rsidRPr="00B30D81">
        <w:rPr>
          <w:rFonts w:cs="Arial"/>
        </w:rPr>
        <w:t>, an Interleukin-17A Inhibitor, in Ankylosing Spondylitis. N Engl J Med. 2015;373(26):2534-48.  </w:t>
      </w:r>
    </w:p>
    <w:p w14:paraId="175B6B26" w14:textId="77777777" w:rsidR="00B30D81" w:rsidRPr="00B30D81" w:rsidRDefault="00B30D81" w:rsidP="005C0FF2">
      <w:pPr>
        <w:numPr>
          <w:ilvl w:val="0"/>
          <w:numId w:val="17"/>
        </w:numPr>
        <w:tabs>
          <w:tab w:val="clear" w:pos="720"/>
          <w:tab w:val="num" w:pos="360"/>
        </w:tabs>
        <w:spacing w:after="0" w:line="278" w:lineRule="auto"/>
        <w:ind w:left="360"/>
        <w:contextualSpacing/>
        <w:rPr>
          <w:rFonts w:cs="Arial"/>
        </w:rPr>
      </w:pPr>
      <w:r w:rsidRPr="00B30D81">
        <w:rPr>
          <w:rFonts w:cs="Arial"/>
        </w:rPr>
        <w:t>Menter A, Strober BE, Kaplan DH, et al. Joint AAD-NPF guidelines of care for the management and treatment of psoriasis with biologics. J Am Acad Dermatol. 2019;80(4):1029-1072.  </w:t>
      </w:r>
    </w:p>
    <w:p w14:paraId="292A3E5D" w14:textId="77777777" w:rsidR="00B30D81" w:rsidRPr="00B30D81" w:rsidRDefault="00B30D81" w:rsidP="005C0FF2">
      <w:pPr>
        <w:numPr>
          <w:ilvl w:val="0"/>
          <w:numId w:val="18"/>
        </w:numPr>
        <w:tabs>
          <w:tab w:val="clear" w:pos="720"/>
          <w:tab w:val="num" w:pos="360"/>
        </w:tabs>
        <w:spacing w:after="0" w:line="278" w:lineRule="auto"/>
        <w:ind w:left="360"/>
        <w:contextualSpacing/>
        <w:rPr>
          <w:rFonts w:cs="Arial"/>
        </w:rPr>
      </w:pPr>
      <w:r w:rsidRPr="00B30D81">
        <w:rPr>
          <w:rFonts w:cs="Arial"/>
        </w:rPr>
        <w:t>Testing for TB Infection. Centers for Disease Control and Prevention. Retrieved on January 4, </w:t>
      </w:r>
      <w:proofErr w:type="gramStart"/>
      <w:r w:rsidRPr="00B30D81">
        <w:rPr>
          <w:rFonts w:cs="Arial"/>
        </w:rPr>
        <w:t>2023</w:t>
      </w:r>
      <w:proofErr w:type="gramEnd"/>
      <w:r w:rsidRPr="00B30D81">
        <w:rPr>
          <w:rFonts w:cs="Arial"/>
        </w:rPr>
        <w:t> from: https://www.cdc.gov/tb/topic/basics/risk.htm.  </w:t>
      </w:r>
    </w:p>
    <w:p w14:paraId="54A73A0B" w14:textId="77777777" w:rsidR="00B30D81" w:rsidRPr="00B30D81" w:rsidRDefault="00B30D81" w:rsidP="005C0FF2">
      <w:pPr>
        <w:numPr>
          <w:ilvl w:val="0"/>
          <w:numId w:val="19"/>
        </w:numPr>
        <w:tabs>
          <w:tab w:val="clear" w:pos="720"/>
          <w:tab w:val="num" w:pos="360"/>
        </w:tabs>
        <w:spacing w:after="0" w:line="278" w:lineRule="auto"/>
        <w:ind w:left="360"/>
        <w:contextualSpacing/>
        <w:rPr>
          <w:rFonts w:cs="Arial"/>
        </w:rPr>
      </w:pPr>
      <w:r w:rsidRPr="00B30D81">
        <w:rPr>
          <w:rFonts w:cs="Arial"/>
        </w:rPr>
        <w:t>Singh JA, Guyatt G, Ogdie A, et al. 2018 American College of Rheumatology/National Psoriasis Foundation Guideline for the Treatment of Psoriatic Arthritis. Arthritis Rheum. </w:t>
      </w:r>
      <w:proofErr w:type="gramStart"/>
      <w:r w:rsidRPr="00B30D81">
        <w:rPr>
          <w:rFonts w:cs="Arial"/>
        </w:rPr>
        <w:t>2018;71:5</w:t>
      </w:r>
      <w:proofErr w:type="gramEnd"/>
      <w:r w:rsidRPr="00B30D81">
        <w:rPr>
          <w:rFonts w:cs="Arial"/>
        </w:rPr>
        <w:t>-32  </w:t>
      </w:r>
    </w:p>
    <w:p w14:paraId="2E6AA40B" w14:textId="77777777" w:rsidR="00B30D81" w:rsidRPr="00B30D81" w:rsidRDefault="00B30D81" w:rsidP="005C0FF2">
      <w:pPr>
        <w:numPr>
          <w:ilvl w:val="0"/>
          <w:numId w:val="20"/>
        </w:numPr>
        <w:tabs>
          <w:tab w:val="clear" w:pos="720"/>
          <w:tab w:val="num" w:pos="360"/>
        </w:tabs>
        <w:spacing w:after="0" w:line="278" w:lineRule="auto"/>
        <w:ind w:left="360"/>
        <w:contextualSpacing/>
        <w:rPr>
          <w:rFonts w:cs="Arial"/>
        </w:rPr>
      </w:pPr>
      <w:r w:rsidRPr="00B30D81">
        <w:rPr>
          <w:rFonts w:cs="Arial"/>
        </w:rPr>
        <w:t>Weiss PF. Diagnosis and treatment of enthesitis-related arthritis. </w:t>
      </w:r>
      <w:proofErr w:type="spellStart"/>
      <w:r w:rsidRPr="00B30D81">
        <w:rPr>
          <w:rFonts w:cs="Arial"/>
        </w:rPr>
        <w:t>Adolesc</w:t>
      </w:r>
      <w:proofErr w:type="spellEnd"/>
      <w:r w:rsidRPr="00B30D81">
        <w:rPr>
          <w:rFonts w:cs="Arial"/>
        </w:rPr>
        <w:t> Health Med Ther. 2012;2012(3):67-74.  </w:t>
      </w:r>
    </w:p>
    <w:p w14:paraId="4C2410FD" w14:textId="77777777" w:rsidR="00B30D81" w:rsidRPr="00B30D81" w:rsidRDefault="00B30D81" w:rsidP="005C0FF2">
      <w:pPr>
        <w:numPr>
          <w:ilvl w:val="0"/>
          <w:numId w:val="21"/>
        </w:numPr>
        <w:tabs>
          <w:tab w:val="clear" w:pos="720"/>
          <w:tab w:val="num" w:pos="360"/>
        </w:tabs>
        <w:spacing w:after="0" w:line="278" w:lineRule="auto"/>
        <w:ind w:left="360"/>
        <w:contextualSpacing/>
        <w:rPr>
          <w:rFonts w:cs="Arial"/>
        </w:rPr>
      </w:pPr>
      <w:r w:rsidRPr="00B30D81">
        <w:rPr>
          <w:rFonts w:cs="Arial"/>
        </w:rPr>
        <w:t>Brunner HI, </w:t>
      </w:r>
      <w:proofErr w:type="spellStart"/>
      <w:r w:rsidRPr="00B30D81">
        <w:rPr>
          <w:rFonts w:cs="Arial"/>
        </w:rPr>
        <w:t>Foeldvari</w:t>
      </w:r>
      <w:proofErr w:type="spellEnd"/>
      <w:r w:rsidRPr="00B30D81">
        <w:rPr>
          <w:rFonts w:cs="Arial"/>
        </w:rPr>
        <w:t> I, Alexeeva E, et al. </w:t>
      </w:r>
      <w:proofErr w:type="spellStart"/>
      <w:r w:rsidRPr="00B30D81">
        <w:rPr>
          <w:rFonts w:cs="Arial"/>
        </w:rPr>
        <w:t>Secukinumab</w:t>
      </w:r>
      <w:proofErr w:type="spellEnd"/>
      <w:r w:rsidRPr="00B30D81">
        <w:rPr>
          <w:rFonts w:cs="Arial"/>
        </w:rPr>
        <w:t> in enthesitis-related arthritis and juvenile psoriatic arthritis: a </w:t>
      </w:r>
      <w:proofErr w:type="spellStart"/>
      <w:r w:rsidRPr="00B30D81">
        <w:rPr>
          <w:rFonts w:cs="Arial"/>
        </w:rPr>
        <w:t>randomised</w:t>
      </w:r>
      <w:proofErr w:type="spellEnd"/>
      <w:r w:rsidRPr="00B30D81">
        <w:rPr>
          <w:rFonts w:cs="Arial"/>
        </w:rPr>
        <w:t>, double-blind, placebo-controlled, treatment withdrawal, phase 3 trial. Ann Rheum Dis. 2023 Jan;82(1):154-160.  </w:t>
      </w:r>
    </w:p>
    <w:p w14:paraId="1EAC8F55" w14:textId="77777777" w:rsidR="00B30D81" w:rsidRPr="00B30D81" w:rsidRDefault="00B30D81" w:rsidP="005C0FF2">
      <w:pPr>
        <w:numPr>
          <w:ilvl w:val="0"/>
          <w:numId w:val="22"/>
        </w:numPr>
        <w:tabs>
          <w:tab w:val="clear" w:pos="720"/>
          <w:tab w:val="num" w:pos="360"/>
        </w:tabs>
        <w:spacing w:after="0" w:line="278" w:lineRule="auto"/>
        <w:ind w:left="360"/>
        <w:contextualSpacing/>
        <w:rPr>
          <w:rFonts w:cs="Arial"/>
        </w:rPr>
      </w:pPr>
      <w:r w:rsidRPr="00B30D81">
        <w:rPr>
          <w:rFonts w:cs="Arial"/>
        </w:rPr>
        <w:t>Coates LC, Soriano ER, Corp N, et al. Group for Research and Assessment of Psoriasis and Psoriatic Arthritis (GRAPPA): updated treatment recommendations for psoriatic arthritis 2021. Nat Rev </w:t>
      </w:r>
      <w:proofErr w:type="spellStart"/>
      <w:r w:rsidRPr="00B30D81">
        <w:rPr>
          <w:rFonts w:cs="Arial"/>
        </w:rPr>
        <w:t>Rheumatol</w:t>
      </w:r>
      <w:proofErr w:type="spellEnd"/>
      <w:r w:rsidRPr="00B30D81">
        <w:rPr>
          <w:rFonts w:cs="Arial"/>
        </w:rPr>
        <w:t>. 2022;18(8):465-479.  </w:t>
      </w:r>
    </w:p>
    <w:p w14:paraId="5D03660D" w14:textId="77777777" w:rsidR="00B30D81" w:rsidRPr="00B30D81" w:rsidRDefault="00B30D81" w:rsidP="005C0FF2">
      <w:pPr>
        <w:numPr>
          <w:ilvl w:val="0"/>
          <w:numId w:val="23"/>
        </w:numPr>
        <w:tabs>
          <w:tab w:val="clear" w:pos="720"/>
          <w:tab w:val="num" w:pos="360"/>
        </w:tabs>
        <w:spacing w:after="0" w:line="278" w:lineRule="auto"/>
        <w:ind w:left="360"/>
        <w:contextualSpacing/>
        <w:rPr>
          <w:rFonts w:cs="Arial"/>
        </w:rPr>
      </w:pPr>
      <w:r w:rsidRPr="00B30D81">
        <w:rPr>
          <w:rFonts w:cs="Arial"/>
        </w:rPr>
        <w:t>Menter A, Gelfand JM, Connor C, et al. Joint American Academy of Dermatology-National Psoriasis Foundation guidelines of care for the management of psoriasis with systemic nonbiologic therapies. J Am Acad Dermatol. 2020;82(6):1445-1486.  </w:t>
      </w:r>
    </w:p>
    <w:p w14:paraId="666EE713" w14:textId="77777777" w:rsidR="00B30D81" w:rsidRPr="00B30D81" w:rsidRDefault="00B30D81" w:rsidP="005C0FF2">
      <w:pPr>
        <w:numPr>
          <w:ilvl w:val="0"/>
          <w:numId w:val="24"/>
        </w:numPr>
        <w:tabs>
          <w:tab w:val="clear" w:pos="720"/>
          <w:tab w:val="num" w:pos="360"/>
        </w:tabs>
        <w:spacing w:after="0" w:line="278" w:lineRule="auto"/>
        <w:ind w:left="360"/>
        <w:contextualSpacing/>
        <w:rPr>
          <w:rFonts w:cs="Arial"/>
        </w:rPr>
      </w:pPr>
      <w:r w:rsidRPr="00B30D81">
        <w:rPr>
          <w:rFonts w:cs="Arial"/>
        </w:rPr>
        <w:lastRenderedPageBreak/>
        <w:t>Ramiro S, </w:t>
      </w:r>
      <w:proofErr w:type="spellStart"/>
      <w:r w:rsidRPr="00B30D81">
        <w:rPr>
          <w:rFonts w:cs="Arial"/>
        </w:rPr>
        <w:t>Nikiphorou</w:t>
      </w:r>
      <w:proofErr w:type="spellEnd"/>
      <w:r w:rsidRPr="00B30D81">
        <w:rPr>
          <w:rFonts w:cs="Arial"/>
        </w:rPr>
        <w:t> E, </w:t>
      </w:r>
      <w:proofErr w:type="spellStart"/>
      <w:r w:rsidRPr="00B30D81">
        <w:rPr>
          <w:rFonts w:cs="Arial"/>
        </w:rPr>
        <w:t>Sepriano</w:t>
      </w:r>
      <w:proofErr w:type="spellEnd"/>
      <w:r w:rsidRPr="00B30D81">
        <w:rPr>
          <w:rFonts w:cs="Arial"/>
        </w:rPr>
        <w:t> A, et al. ASAS-EULAR recommendations for the management of axial spondyloarthritis: 2022 update. Ann Rheum Dis. </w:t>
      </w:r>
      <w:proofErr w:type="gramStart"/>
      <w:r w:rsidRPr="00B30D81">
        <w:rPr>
          <w:rFonts w:cs="Arial"/>
        </w:rPr>
        <w:t>2023;82:19</w:t>
      </w:r>
      <w:proofErr w:type="gramEnd"/>
      <w:r w:rsidRPr="00B30D81">
        <w:rPr>
          <w:rFonts w:cs="Arial"/>
        </w:rPr>
        <w:t>-34.  </w:t>
      </w:r>
    </w:p>
    <w:p w14:paraId="47A3A263" w14:textId="77777777" w:rsidR="00B30D81" w:rsidRPr="00B30D81" w:rsidRDefault="00B30D81" w:rsidP="005C0FF2">
      <w:pPr>
        <w:numPr>
          <w:ilvl w:val="0"/>
          <w:numId w:val="25"/>
        </w:numPr>
        <w:tabs>
          <w:tab w:val="clear" w:pos="720"/>
          <w:tab w:val="num" w:pos="360"/>
        </w:tabs>
        <w:spacing w:after="0" w:line="278" w:lineRule="auto"/>
        <w:ind w:left="360"/>
        <w:contextualSpacing/>
        <w:rPr>
          <w:rFonts w:cs="Arial"/>
        </w:rPr>
      </w:pPr>
      <w:r w:rsidRPr="00B30D81">
        <w:rPr>
          <w:rFonts w:cs="Arial"/>
        </w:rPr>
        <w:t>Alikhan A, Sayed C, Alavi A, et al. North American clinical management guidelines for hidradenitis suppurativa: A publication from the United States and Canadian Hidradenitis Suppurativa Foundations Part I: Diagnosis, evaluation, and the use of complementary and procedural management. J Am Acad Dermatol. 2019; 81(1): 76-90.  </w:t>
      </w:r>
    </w:p>
    <w:p w14:paraId="6B998BAD" w14:textId="77777777" w:rsidR="00B30D81" w:rsidRPr="00B30D81" w:rsidRDefault="00B30D81" w:rsidP="005C0FF2">
      <w:pPr>
        <w:numPr>
          <w:ilvl w:val="0"/>
          <w:numId w:val="26"/>
        </w:numPr>
        <w:tabs>
          <w:tab w:val="clear" w:pos="720"/>
          <w:tab w:val="num" w:pos="360"/>
        </w:tabs>
        <w:spacing w:after="0" w:line="278" w:lineRule="auto"/>
        <w:ind w:left="360"/>
        <w:contextualSpacing/>
        <w:rPr>
          <w:rFonts w:cs="Arial"/>
        </w:rPr>
      </w:pPr>
      <w:r w:rsidRPr="00B30D81">
        <w:rPr>
          <w:rFonts w:cs="Arial"/>
        </w:rPr>
        <w:t>Alikhan A, Sayed C, Alavi A, et al. North American clinical management guidelines for hidradenitis suppurativa: A publication from the United States and Canadian Hidradenitis Suppurativa Foundations Part II: Topical, intralesional, and systemic medical management. J Am Acad Dermatol. 2019; 81(1): 91- 101. </w:t>
      </w:r>
    </w:p>
    <w:p w14:paraId="7C905245" w14:textId="77777777" w:rsidR="00B30D81" w:rsidRPr="00B30D81" w:rsidRDefault="00B30D81" w:rsidP="005C0FF2">
      <w:pPr>
        <w:numPr>
          <w:ilvl w:val="0"/>
          <w:numId w:val="27"/>
        </w:numPr>
        <w:tabs>
          <w:tab w:val="clear" w:pos="720"/>
          <w:tab w:val="num" w:pos="360"/>
        </w:tabs>
        <w:spacing w:after="0" w:line="278" w:lineRule="auto"/>
        <w:ind w:left="360"/>
        <w:contextualSpacing/>
        <w:rPr>
          <w:rFonts w:cs="Arial"/>
        </w:rPr>
      </w:pPr>
      <w:r w:rsidRPr="00B30D81">
        <w:rPr>
          <w:rFonts w:cs="Arial"/>
        </w:rPr>
        <w:t>Sosa LE, Njie GJ, Lobato MN, et al.  Tuberculosis Screening, Testing, and Treatment of U.S. Health Care Personnel: Recommendations from the National Tuberculosis Controllers Association and CDC, 2019. MMWR </w:t>
      </w:r>
      <w:proofErr w:type="spellStart"/>
      <w:r w:rsidRPr="00B30D81">
        <w:rPr>
          <w:rFonts w:cs="Arial"/>
        </w:rPr>
        <w:t>Morb</w:t>
      </w:r>
      <w:proofErr w:type="spellEnd"/>
      <w:r w:rsidRPr="00B30D81">
        <w:rPr>
          <w:rFonts w:cs="Arial"/>
        </w:rPr>
        <w:t> Mortal </w:t>
      </w:r>
      <w:proofErr w:type="spellStart"/>
      <w:r w:rsidRPr="00B30D81">
        <w:rPr>
          <w:rFonts w:cs="Arial"/>
        </w:rPr>
        <w:t>Wkly</w:t>
      </w:r>
      <w:proofErr w:type="spellEnd"/>
      <w:r w:rsidRPr="00B30D81">
        <w:rPr>
          <w:rFonts w:cs="Arial"/>
        </w:rPr>
        <w:t> Rep. 2019;68(19):439. </w:t>
      </w:r>
      <w:proofErr w:type="spellStart"/>
      <w:r w:rsidRPr="00B30D81">
        <w:rPr>
          <w:rFonts w:cs="Arial"/>
        </w:rPr>
        <w:t>Epub</w:t>
      </w:r>
      <w:proofErr w:type="spellEnd"/>
      <w:r w:rsidRPr="00B30D81">
        <w:rPr>
          <w:rFonts w:cs="Arial"/>
        </w:rPr>
        <w:t> 2019 May 17.  </w:t>
      </w:r>
    </w:p>
    <w:p w14:paraId="50F6E8E0" w14:textId="468957B9" w:rsidR="00E768E6" w:rsidRPr="00C764C3" w:rsidRDefault="00E768E6" w:rsidP="00B30D81">
      <w:pPr>
        <w:spacing w:before="0" w:line="278" w:lineRule="auto"/>
        <w:contextualSpacing/>
      </w:pPr>
    </w:p>
    <w:sectPr w:rsidR="00E768E6" w:rsidRPr="00C764C3" w:rsidSect="00B453FA">
      <w:headerReference w:type="default" r:id="rId14"/>
      <w:footerReference w:type="default" r:id="rId15"/>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C99E" w14:textId="77777777" w:rsidR="00AA6599" w:rsidRDefault="00AA6599">
      <w:pPr>
        <w:spacing w:before="0" w:after="0"/>
      </w:pPr>
      <w:r>
        <w:separator/>
      </w:r>
    </w:p>
  </w:endnote>
  <w:endnote w:type="continuationSeparator" w:id="0">
    <w:p w14:paraId="0CF724A9" w14:textId="77777777" w:rsidR="00AA6599" w:rsidRDefault="00AA6599">
      <w:pPr>
        <w:spacing w:before="0" w:after="0"/>
      </w:pPr>
      <w:r>
        <w:continuationSeparator/>
      </w:r>
    </w:p>
  </w:endnote>
  <w:endnote w:type="continuationNotice" w:id="1">
    <w:p w14:paraId="1DAF811B" w14:textId="77777777" w:rsidR="00AA6599" w:rsidRDefault="00AA65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1F0291B0" w:rsidR="00E768E6" w:rsidRDefault="5D66B660">
    <w:pPr>
      <w:pStyle w:val="Footer"/>
    </w:pPr>
    <w:r>
      <w:t xml:space="preserve">EVH Clinical Guideline </w:t>
    </w:r>
    <w:r w:rsidR="00C03853">
      <w:t>5101</w:t>
    </w:r>
    <w:r>
      <w:t>.CC for</w:t>
    </w:r>
    <w:r w:rsidR="00B30D81">
      <w:t xml:space="preserve"> Cosentyx (</w:t>
    </w:r>
    <w:proofErr w:type="spellStart"/>
    <w:r w:rsidR="00B30D81">
      <w:t>secukinumab</w:t>
    </w:r>
    <w:proofErr w:type="spellEnd"/>
    <w:r w:rsidR="00B30D8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6A20" w14:textId="77777777" w:rsidR="00AA6599" w:rsidRDefault="00AA6599">
      <w:pPr>
        <w:spacing w:before="0" w:after="0"/>
      </w:pPr>
      <w:r>
        <w:separator/>
      </w:r>
    </w:p>
  </w:footnote>
  <w:footnote w:type="continuationSeparator" w:id="0">
    <w:p w14:paraId="3744473A" w14:textId="77777777" w:rsidR="00AA6599" w:rsidRDefault="00AA6599">
      <w:pPr>
        <w:spacing w:before="0" w:after="0"/>
      </w:pPr>
      <w:r>
        <w:continuationSeparator/>
      </w:r>
    </w:p>
  </w:footnote>
  <w:footnote w:type="continuationNotice" w:id="1">
    <w:p w14:paraId="6AFB7803" w14:textId="77777777" w:rsidR="00AA6599" w:rsidRDefault="00AA65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621"/>
    <w:multiLevelType w:val="multilevel"/>
    <w:tmpl w:val="A24E1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65F0"/>
    <w:multiLevelType w:val="multilevel"/>
    <w:tmpl w:val="CEFC36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45FDB"/>
    <w:multiLevelType w:val="multilevel"/>
    <w:tmpl w:val="379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62F4C"/>
    <w:multiLevelType w:val="multilevel"/>
    <w:tmpl w:val="4DE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6D40AA2"/>
    <w:multiLevelType w:val="multilevel"/>
    <w:tmpl w:val="4CCC7B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86083"/>
    <w:multiLevelType w:val="multilevel"/>
    <w:tmpl w:val="83E8C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B40F1"/>
    <w:multiLevelType w:val="multilevel"/>
    <w:tmpl w:val="4B36A3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96713"/>
    <w:multiLevelType w:val="multilevel"/>
    <w:tmpl w:val="1A6C24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65E09"/>
    <w:multiLevelType w:val="multilevel"/>
    <w:tmpl w:val="A5ECC4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30A86"/>
    <w:multiLevelType w:val="multilevel"/>
    <w:tmpl w:val="E868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C0929"/>
    <w:multiLevelType w:val="multilevel"/>
    <w:tmpl w:val="10B8E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64DEC"/>
    <w:multiLevelType w:val="multilevel"/>
    <w:tmpl w:val="4FD8A5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06F87"/>
    <w:multiLevelType w:val="multilevel"/>
    <w:tmpl w:val="97AE55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4D777F"/>
    <w:multiLevelType w:val="multilevel"/>
    <w:tmpl w:val="264A2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256F7"/>
    <w:multiLevelType w:val="multilevel"/>
    <w:tmpl w:val="021A1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203912"/>
    <w:multiLevelType w:val="multilevel"/>
    <w:tmpl w:val="710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2554E"/>
    <w:multiLevelType w:val="multilevel"/>
    <w:tmpl w:val="8C4CA8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05B94"/>
    <w:multiLevelType w:val="multilevel"/>
    <w:tmpl w:val="141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53C78"/>
    <w:multiLevelType w:val="multilevel"/>
    <w:tmpl w:val="1AA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710F198B"/>
    <w:multiLevelType w:val="multilevel"/>
    <w:tmpl w:val="4A620E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1F5E8F"/>
    <w:multiLevelType w:val="multilevel"/>
    <w:tmpl w:val="E2AA42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25247"/>
    <w:multiLevelType w:val="multilevel"/>
    <w:tmpl w:val="50D8C7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B4D47"/>
    <w:multiLevelType w:val="multilevel"/>
    <w:tmpl w:val="E6665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7EFC50DB"/>
    <w:multiLevelType w:val="multilevel"/>
    <w:tmpl w:val="596A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299406">
    <w:abstractNumId w:val="4"/>
  </w:num>
  <w:num w:numId="2" w16cid:durableId="433867396">
    <w:abstractNumId w:val="20"/>
  </w:num>
  <w:num w:numId="3" w16cid:durableId="2098281171">
    <w:abstractNumId w:val="25"/>
  </w:num>
  <w:num w:numId="4" w16cid:durableId="261887323">
    <w:abstractNumId w:val="3"/>
  </w:num>
  <w:num w:numId="5" w16cid:durableId="1497919671">
    <w:abstractNumId w:val="2"/>
  </w:num>
  <w:num w:numId="6" w16cid:durableId="1940790650">
    <w:abstractNumId w:val="19"/>
  </w:num>
  <w:num w:numId="7" w16cid:durableId="1589997604">
    <w:abstractNumId w:val="26"/>
  </w:num>
  <w:num w:numId="8" w16cid:durableId="1301300937">
    <w:abstractNumId w:val="18"/>
  </w:num>
  <w:num w:numId="9" w16cid:durableId="1587499166">
    <w:abstractNumId w:val="16"/>
  </w:num>
  <w:num w:numId="10" w16cid:durableId="795559639">
    <w:abstractNumId w:val="10"/>
  </w:num>
  <w:num w:numId="11" w16cid:durableId="1737052740">
    <w:abstractNumId w:val="15"/>
  </w:num>
  <w:num w:numId="12" w16cid:durableId="26763509">
    <w:abstractNumId w:val="11"/>
  </w:num>
  <w:num w:numId="13" w16cid:durableId="620185454">
    <w:abstractNumId w:val="14"/>
  </w:num>
  <w:num w:numId="14" w16cid:durableId="1714118168">
    <w:abstractNumId w:val="24"/>
  </w:num>
  <w:num w:numId="15" w16cid:durableId="1410039347">
    <w:abstractNumId w:val="6"/>
  </w:num>
  <w:num w:numId="16" w16cid:durableId="1375547502">
    <w:abstractNumId w:val="12"/>
  </w:num>
  <w:num w:numId="17" w16cid:durableId="1635914652">
    <w:abstractNumId w:val="8"/>
  </w:num>
  <w:num w:numId="18" w16cid:durableId="1733121259">
    <w:abstractNumId w:val="0"/>
  </w:num>
  <w:num w:numId="19" w16cid:durableId="473959271">
    <w:abstractNumId w:val="22"/>
  </w:num>
  <w:num w:numId="20" w16cid:durableId="1013528903">
    <w:abstractNumId w:val="9"/>
  </w:num>
  <w:num w:numId="21" w16cid:durableId="1197505149">
    <w:abstractNumId w:val="7"/>
  </w:num>
  <w:num w:numId="22" w16cid:durableId="514342528">
    <w:abstractNumId w:val="17"/>
  </w:num>
  <w:num w:numId="23" w16cid:durableId="925923945">
    <w:abstractNumId w:val="1"/>
  </w:num>
  <w:num w:numId="24" w16cid:durableId="1195651332">
    <w:abstractNumId w:val="21"/>
  </w:num>
  <w:num w:numId="25" w16cid:durableId="414595337">
    <w:abstractNumId w:val="5"/>
  </w:num>
  <w:num w:numId="26" w16cid:durableId="1811164145">
    <w:abstractNumId w:val="13"/>
  </w:num>
  <w:num w:numId="27" w16cid:durableId="165710491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05DF"/>
    <w:rsid w:val="00033EE8"/>
    <w:rsid w:val="0003646D"/>
    <w:rsid w:val="000428D6"/>
    <w:rsid w:val="0004797B"/>
    <w:rsid w:val="00052D4A"/>
    <w:rsid w:val="00085B86"/>
    <w:rsid w:val="00090D5F"/>
    <w:rsid w:val="00091912"/>
    <w:rsid w:val="000B5014"/>
    <w:rsid w:val="000D07A6"/>
    <w:rsid w:val="000D4859"/>
    <w:rsid w:val="000E54AA"/>
    <w:rsid w:val="000E56E6"/>
    <w:rsid w:val="000F26CB"/>
    <w:rsid w:val="000F4F33"/>
    <w:rsid w:val="00104BA4"/>
    <w:rsid w:val="00107484"/>
    <w:rsid w:val="00121D1A"/>
    <w:rsid w:val="00131376"/>
    <w:rsid w:val="001331D9"/>
    <w:rsid w:val="00137B11"/>
    <w:rsid w:val="001542FF"/>
    <w:rsid w:val="00165017"/>
    <w:rsid w:val="00170BE8"/>
    <w:rsid w:val="00173EDB"/>
    <w:rsid w:val="00184B0B"/>
    <w:rsid w:val="001906D9"/>
    <w:rsid w:val="00192D85"/>
    <w:rsid w:val="001A28CA"/>
    <w:rsid w:val="001B47C5"/>
    <w:rsid w:val="001C3443"/>
    <w:rsid w:val="001C6AD6"/>
    <w:rsid w:val="001E09C0"/>
    <w:rsid w:val="001F3FBD"/>
    <w:rsid w:val="0020217A"/>
    <w:rsid w:val="00211956"/>
    <w:rsid w:val="00226856"/>
    <w:rsid w:val="00254BB7"/>
    <w:rsid w:val="002561E8"/>
    <w:rsid w:val="0026198C"/>
    <w:rsid w:val="00265A17"/>
    <w:rsid w:val="00266200"/>
    <w:rsid w:val="00291702"/>
    <w:rsid w:val="002A1528"/>
    <w:rsid w:val="002A31A9"/>
    <w:rsid w:val="002A5A0A"/>
    <w:rsid w:val="002B4658"/>
    <w:rsid w:val="002B581F"/>
    <w:rsid w:val="002C0762"/>
    <w:rsid w:val="002C685E"/>
    <w:rsid w:val="002D5BAA"/>
    <w:rsid w:val="002E2803"/>
    <w:rsid w:val="002E780A"/>
    <w:rsid w:val="002F2953"/>
    <w:rsid w:val="00303D8F"/>
    <w:rsid w:val="0030732A"/>
    <w:rsid w:val="003209EB"/>
    <w:rsid w:val="00324C14"/>
    <w:rsid w:val="00333E88"/>
    <w:rsid w:val="00351920"/>
    <w:rsid w:val="003618DD"/>
    <w:rsid w:val="00366A37"/>
    <w:rsid w:val="00371D5A"/>
    <w:rsid w:val="00392C61"/>
    <w:rsid w:val="003B327C"/>
    <w:rsid w:val="003B7958"/>
    <w:rsid w:val="003D369E"/>
    <w:rsid w:val="003F1770"/>
    <w:rsid w:val="00402D8F"/>
    <w:rsid w:val="00426325"/>
    <w:rsid w:val="0042696D"/>
    <w:rsid w:val="00491493"/>
    <w:rsid w:val="004A6F71"/>
    <w:rsid w:val="004B5DBF"/>
    <w:rsid w:val="004C1AA7"/>
    <w:rsid w:val="004C3BCE"/>
    <w:rsid w:val="004D20A0"/>
    <w:rsid w:val="004D6F63"/>
    <w:rsid w:val="004F0CF5"/>
    <w:rsid w:val="00513E86"/>
    <w:rsid w:val="00514C1A"/>
    <w:rsid w:val="00515EC6"/>
    <w:rsid w:val="00520329"/>
    <w:rsid w:val="00534131"/>
    <w:rsid w:val="00535D45"/>
    <w:rsid w:val="00542876"/>
    <w:rsid w:val="00544CAA"/>
    <w:rsid w:val="00561A48"/>
    <w:rsid w:val="0058298E"/>
    <w:rsid w:val="00593230"/>
    <w:rsid w:val="005C0FF2"/>
    <w:rsid w:val="005C156E"/>
    <w:rsid w:val="005C5F89"/>
    <w:rsid w:val="005D7959"/>
    <w:rsid w:val="005E1BA6"/>
    <w:rsid w:val="005F20CB"/>
    <w:rsid w:val="005F4EF2"/>
    <w:rsid w:val="005F6B75"/>
    <w:rsid w:val="005F7F01"/>
    <w:rsid w:val="006115FD"/>
    <w:rsid w:val="00616BF8"/>
    <w:rsid w:val="00630D87"/>
    <w:rsid w:val="0063414B"/>
    <w:rsid w:val="0064273E"/>
    <w:rsid w:val="00645EB1"/>
    <w:rsid w:val="006629B9"/>
    <w:rsid w:val="00667799"/>
    <w:rsid w:val="00667E6D"/>
    <w:rsid w:val="00673DF1"/>
    <w:rsid w:val="006759EC"/>
    <w:rsid w:val="00687B17"/>
    <w:rsid w:val="0069442A"/>
    <w:rsid w:val="006B408B"/>
    <w:rsid w:val="006B4506"/>
    <w:rsid w:val="006F2FF7"/>
    <w:rsid w:val="006F3F41"/>
    <w:rsid w:val="00713883"/>
    <w:rsid w:val="00714A8C"/>
    <w:rsid w:val="007420BF"/>
    <w:rsid w:val="007765BD"/>
    <w:rsid w:val="0078667C"/>
    <w:rsid w:val="00796FF6"/>
    <w:rsid w:val="0079769E"/>
    <w:rsid w:val="007C0375"/>
    <w:rsid w:val="007F147F"/>
    <w:rsid w:val="00800EA8"/>
    <w:rsid w:val="008200CB"/>
    <w:rsid w:val="008401CF"/>
    <w:rsid w:val="008541B7"/>
    <w:rsid w:val="00856E36"/>
    <w:rsid w:val="0087010D"/>
    <w:rsid w:val="0088160A"/>
    <w:rsid w:val="00886909"/>
    <w:rsid w:val="008912B2"/>
    <w:rsid w:val="008A68A1"/>
    <w:rsid w:val="008B5CC1"/>
    <w:rsid w:val="008B7585"/>
    <w:rsid w:val="008C2F12"/>
    <w:rsid w:val="008D27CA"/>
    <w:rsid w:val="008F3B8D"/>
    <w:rsid w:val="00903D20"/>
    <w:rsid w:val="00937AE7"/>
    <w:rsid w:val="00940509"/>
    <w:rsid w:val="0094142F"/>
    <w:rsid w:val="00945A28"/>
    <w:rsid w:val="00962667"/>
    <w:rsid w:val="009C6502"/>
    <w:rsid w:val="009D024B"/>
    <w:rsid w:val="009E5DF1"/>
    <w:rsid w:val="009F0734"/>
    <w:rsid w:val="009F0851"/>
    <w:rsid w:val="00A03DEC"/>
    <w:rsid w:val="00A300C3"/>
    <w:rsid w:val="00A376EA"/>
    <w:rsid w:val="00A563F9"/>
    <w:rsid w:val="00A76658"/>
    <w:rsid w:val="00A81193"/>
    <w:rsid w:val="00A858B1"/>
    <w:rsid w:val="00A95B64"/>
    <w:rsid w:val="00AA523B"/>
    <w:rsid w:val="00AA6599"/>
    <w:rsid w:val="00AB1645"/>
    <w:rsid w:val="00AC50C6"/>
    <w:rsid w:val="00AD63EA"/>
    <w:rsid w:val="00B04EC0"/>
    <w:rsid w:val="00B21AF9"/>
    <w:rsid w:val="00B30D81"/>
    <w:rsid w:val="00B453FA"/>
    <w:rsid w:val="00B4747E"/>
    <w:rsid w:val="00B51283"/>
    <w:rsid w:val="00B5432B"/>
    <w:rsid w:val="00B577D6"/>
    <w:rsid w:val="00B64842"/>
    <w:rsid w:val="00B73404"/>
    <w:rsid w:val="00B95186"/>
    <w:rsid w:val="00BA7E4F"/>
    <w:rsid w:val="00BB3C91"/>
    <w:rsid w:val="00BC3C3D"/>
    <w:rsid w:val="00BC48FC"/>
    <w:rsid w:val="00BC594E"/>
    <w:rsid w:val="00BE1780"/>
    <w:rsid w:val="00BE46D9"/>
    <w:rsid w:val="00C037EE"/>
    <w:rsid w:val="00C03853"/>
    <w:rsid w:val="00C06406"/>
    <w:rsid w:val="00C10F2D"/>
    <w:rsid w:val="00C27384"/>
    <w:rsid w:val="00C70BDC"/>
    <w:rsid w:val="00C764C3"/>
    <w:rsid w:val="00C808BD"/>
    <w:rsid w:val="00C96DD2"/>
    <w:rsid w:val="00CA5D81"/>
    <w:rsid w:val="00CA6FC8"/>
    <w:rsid w:val="00CD1600"/>
    <w:rsid w:val="00CE7F1D"/>
    <w:rsid w:val="00D06CD2"/>
    <w:rsid w:val="00D14C19"/>
    <w:rsid w:val="00D20CC0"/>
    <w:rsid w:val="00D26970"/>
    <w:rsid w:val="00D72CDD"/>
    <w:rsid w:val="00D80977"/>
    <w:rsid w:val="00D87D1A"/>
    <w:rsid w:val="00D9316C"/>
    <w:rsid w:val="00DB1BC8"/>
    <w:rsid w:val="00DB5A1E"/>
    <w:rsid w:val="00DD7B3A"/>
    <w:rsid w:val="00DE394E"/>
    <w:rsid w:val="00DE69AD"/>
    <w:rsid w:val="00E150C0"/>
    <w:rsid w:val="00E177C5"/>
    <w:rsid w:val="00E32AC4"/>
    <w:rsid w:val="00E35E4A"/>
    <w:rsid w:val="00E36087"/>
    <w:rsid w:val="00E768E6"/>
    <w:rsid w:val="00E81E1A"/>
    <w:rsid w:val="00EB23A5"/>
    <w:rsid w:val="00EC13C6"/>
    <w:rsid w:val="00EC7EE7"/>
    <w:rsid w:val="00F01531"/>
    <w:rsid w:val="00F0761D"/>
    <w:rsid w:val="00F45AB3"/>
    <w:rsid w:val="00F57D9A"/>
    <w:rsid w:val="00F73BF0"/>
    <w:rsid w:val="00F92FF8"/>
    <w:rsid w:val="00FA12C1"/>
    <w:rsid w:val="00FA3210"/>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B3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bookmark://_Appendix_1_%E2%80%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_Appendix_1_%E2%80%9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Appendix_1_%E2%80%9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4.xml><?xml version="1.0" encoding="utf-8"?>
<ds:datastoreItem xmlns:ds="http://schemas.openxmlformats.org/officeDocument/2006/customXml" ds:itemID="{28980E01-C9D6-4E2E-8155-2AE77D0B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3</TotalTime>
  <Pages>11</Pages>
  <Words>2693</Words>
  <Characters>15352</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2026-03-09T19:49:00Z</cp:lastPrinted>
  <dcterms:created xsi:type="dcterms:W3CDTF">2026-06-02T04:05:00Z</dcterms:created>
  <dcterms:modified xsi:type="dcterms:W3CDTF">2026-06-02T04:05:00Z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